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EC3D12" w:rsidTr="00EC3D12">
        <w:trPr>
          <w:trHeight w:val="1692"/>
        </w:trPr>
        <w:tc>
          <w:tcPr>
            <w:tcW w:w="3085" w:type="dxa"/>
            <w:vAlign w:val="bottom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EC3D12" w:rsidRPr="00447D0C" w:rsidRDefault="00EC3D12" w:rsidP="00447D0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447D0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447D0C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EC3D12" w:rsidRDefault="00EC3D12" w:rsidP="00EC3D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2" w:rsidRDefault="00EC3D12" w:rsidP="00EC3D12">
      <w:pPr>
        <w:ind w:left="170" w:right="170"/>
        <w:jc w:val="right"/>
      </w:pPr>
      <w:r>
        <w:t xml:space="preserve"> </w:t>
      </w:r>
    </w:p>
    <w:p w:rsidR="00253162" w:rsidRDefault="00253162" w:rsidP="00B91F7D">
      <w:pPr>
        <w:ind w:left="170" w:right="170"/>
        <w:jc w:val="right"/>
      </w:pPr>
    </w:p>
    <w:p w:rsidR="00B91F7D" w:rsidRPr="00EC3D12" w:rsidRDefault="00B91F7D" w:rsidP="00447D0C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47D0C" w:rsidRPr="00244D46">
        <w:rPr>
          <w:rFonts w:cstheme="minorHAnsi"/>
          <w:b/>
          <w:sz w:val="20"/>
          <w:szCs w:val="20"/>
          <w:lang w:bidi="ru-RU"/>
        </w:rPr>
        <w:t xml:space="preserve"> 46</w:t>
      </w:r>
      <w:r w:rsidR="006F42BE">
        <w:rPr>
          <w:rFonts w:cstheme="minorHAnsi"/>
          <w:b/>
          <w:sz w:val="20"/>
          <w:szCs w:val="20"/>
          <w:lang w:bidi="ru-RU"/>
        </w:rPr>
        <w:t>8</w:t>
      </w:r>
      <w:r w:rsidR="00447D0C" w:rsidRPr="00244D46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от «</w:t>
      </w:r>
      <w:r w:rsidR="00267348">
        <w:rPr>
          <w:rFonts w:cstheme="minorHAnsi"/>
          <w:b/>
          <w:sz w:val="20"/>
          <w:szCs w:val="20"/>
          <w:lang w:bidi="ru-RU"/>
        </w:rPr>
        <w:t>0</w:t>
      </w:r>
      <w:r w:rsidR="00447D0C" w:rsidRPr="00244D46">
        <w:rPr>
          <w:rFonts w:cstheme="minorHAnsi"/>
          <w:b/>
          <w:sz w:val="20"/>
          <w:szCs w:val="20"/>
          <w:lang w:bidi="ru-RU"/>
        </w:rPr>
        <w:t>9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="00447D0C">
        <w:rPr>
          <w:rFonts w:cstheme="minorHAnsi"/>
          <w:b/>
          <w:sz w:val="20"/>
          <w:szCs w:val="20"/>
          <w:lang w:bidi="ru-RU"/>
        </w:rPr>
        <w:t>августа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447D0C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07383C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8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447D0C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0C" w:rsidRPr="00447D0C" w:rsidRDefault="00447D0C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447D0C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0C" w:rsidRPr="00447D0C" w:rsidRDefault="006F42BE" w:rsidP="00EC3D12">
            <w:pPr>
              <w:spacing w:before="120" w:after="120"/>
              <w:ind w:left="170" w:right="170"/>
              <w:jc w:val="both"/>
              <w:rPr>
                <w:b/>
              </w:rPr>
            </w:pPr>
            <w:r>
              <w:rPr>
                <w:b/>
              </w:rPr>
              <w:t>Панкратов Г.В. 8-920-203-68-17</w:t>
            </w:r>
          </w:p>
        </w:tc>
      </w:tr>
      <w:tr w:rsidR="00E62C37" w:rsidRPr="00EC3D12" w:rsidTr="00867963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37" w:rsidRDefault="00E62C37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9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6F42B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6F42B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проведению негосударственной экспертизы проектной документации без сметы в подразделении ООО «АПК «ПРОМАГРО» завода по производству комбикормов №2. Строительство (Зернохранилище №1, зерносушилка, пожарный резервуар, здание диспетчерской поточно-транспортной системы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</w:t>
            </w:r>
            <w:r w:rsidR="006F42B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2BE" w:rsidRPr="006F42B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поточно –транспортная система, увеличение мощностей по приёму и хранению зерна до 8820 тон.)</w:t>
            </w:r>
            <w:r w:rsidR="006F42BE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6F42B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47D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  <w:r w:rsidR="006F42B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F42B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215 000</w:t>
            </w:r>
            <w:r w:rsidR="0026734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6734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  <w:proofErr w:type="spellEnd"/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6F42BE" w:rsidP="00447D0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215 000</w:t>
            </w:r>
            <w:r w:rsidR="00E62C37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</w:t>
            </w:r>
            <w:proofErr w:type="spellEnd"/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0A716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67348" w:rsidP="00447D0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Заключение договора страхования </w:t>
            </w:r>
            <w:r w:rsidR="002E4C0B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67348" w:rsidP="0007383C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Мест</w:t>
            </w:r>
            <w:r w:rsidR="0007383C">
              <w:rPr>
                <w:rFonts w:cstheme="minorHAnsi"/>
                <w:sz w:val="20"/>
                <w:szCs w:val="20"/>
                <w:lang w:bidi="ru-RU"/>
              </w:rPr>
              <w:t>о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нахождения  </w:t>
            </w:r>
            <w:r w:rsidR="0007383C">
              <w:rPr>
                <w:rFonts w:cstheme="minorHAnsi"/>
                <w:sz w:val="20"/>
                <w:szCs w:val="20"/>
                <w:lang w:bidi="ru-RU"/>
              </w:rPr>
              <w:t>объектов недвижимости</w:t>
            </w:r>
            <w:bookmarkStart w:id="0" w:name="_GoBack"/>
            <w:bookmarkEnd w:id="0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348" w:rsidRPr="00EC3D12" w:rsidRDefault="00267348" w:rsidP="00447D0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color w:val="000000"/>
                <w:lang w:bidi="ru-RU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color w:val="000000"/>
                <w:lang w:bidi="ru-RU"/>
              </w:rPr>
              <w:t>Старооскольский</w:t>
            </w:r>
            <w:proofErr w:type="spellEnd"/>
            <w:r>
              <w:rPr>
                <w:rFonts w:cstheme="minorHAnsi"/>
                <w:color w:val="000000"/>
                <w:lang w:bidi="ru-RU"/>
              </w:rPr>
              <w:t xml:space="preserve"> район, </w:t>
            </w:r>
            <w:proofErr w:type="spellStart"/>
            <w:r w:rsidR="00447D0C">
              <w:rPr>
                <w:rFonts w:cstheme="minorHAnsi"/>
                <w:color w:val="000000"/>
                <w:lang w:bidi="ru-RU"/>
              </w:rPr>
              <w:t>Роговатовская</w:t>
            </w:r>
            <w:proofErr w:type="spellEnd"/>
            <w:r w:rsidR="00447D0C">
              <w:rPr>
                <w:rFonts w:cstheme="minorHAnsi"/>
                <w:color w:val="000000"/>
                <w:lang w:bidi="ru-RU"/>
              </w:rPr>
              <w:t xml:space="preserve"> сельская территория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>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Победитель торгов заключает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договор  только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Договор должен быть заключен не позднее </w:t>
            </w:r>
            <w:r w:rsidR="00761B01">
              <w:rPr>
                <w:rFonts w:cstheme="minorHAnsi"/>
                <w:color w:val="000000"/>
                <w:lang w:bidi="ru-RU"/>
              </w:rPr>
              <w:t>1</w:t>
            </w:r>
            <w:r w:rsidR="00E363B5">
              <w:rPr>
                <w:rFonts w:cstheme="minorHAnsi"/>
                <w:color w:val="000000"/>
                <w:lang w:bidi="ru-RU"/>
              </w:rPr>
              <w:t>0</w:t>
            </w:r>
            <w:r w:rsidR="00761B01">
              <w:rPr>
                <w:rFonts w:cstheme="minorHAnsi"/>
                <w:color w:val="000000"/>
                <w:lang w:bidi="ru-RU"/>
              </w:rPr>
              <w:t xml:space="preserve"> календарных дней со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дня размещения на официальном сайте протокола рассмотрения и оценки заявок.</w:t>
            </w:r>
          </w:p>
          <w:p w:rsidR="00991A49" w:rsidRPr="00EC3D12" w:rsidRDefault="00991A49" w:rsidP="00761B01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A7160" w:rsidP="0007383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E363B5">
              <w:rPr>
                <w:rFonts w:cstheme="minorHAnsi"/>
                <w:b/>
                <w:color w:val="000000"/>
                <w:lang w:bidi="ru-RU"/>
              </w:rPr>
              <w:t>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E363B5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07383C"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761B0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1016A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E363B5" w:rsidP="0007383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07383C"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1016A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10"/>
      <w:headerReference w:type="first" r:id="rId11"/>
      <w:footerReference w:type="first" r:id="rId12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EA" w:rsidRDefault="00CC10EA" w:rsidP="00AA77E5">
      <w:pPr>
        <w:spacing w:after="0" w:line="240" w:lineRule="auto"/>
      </w:pPr>
      <w:r>
        <w:separator/>
      </w:r>
    </w:p>
  </w:endnote>
  <w:endnote w:type="continuationSeparator" w:id="0">
    <w:p w:rsidR="00CC10EA" w:rsidRDefault="00CC10EA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73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73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EA" w:rsidRDefault="00CC10EA" w:rsidP="00AA77E5">
      <w:pPr>
        <w:spacing w:after="0" w:line="240" w:lineRule="auto"/>
      </w:pPr>
      <w:r>
        <w:separator/>
      </w:r>
    </w:p>
  </w:footnote>
  <w:footnote w:type="continuationSeparator" w:id="0">
    <w:p w:rsidR="00CC10EA" w:rsidRDefault="00CC10EA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10" w:rsidRDefault="00714310" w:rsidP="00714310">
    <w:pPr>
      <w:pStyle w:val="a3"/>
    </w:pP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4FC8"/>
    <w:rsid w:val="000701A6"/>
    <w:rsid w:val="000713A8"/>
    <w:rsid w:val="0007383C"/>
    <w:rsid w:val="00086AD4"/>
    <w:rsid w:val="000A7160"/>
    <w:rsid w:val="000B2F2E"/>
    <w:rsid w:val="000C4383"/>
    <w:rsid w:val="000D6E21"/>
    <w:rsid w:val="000F34D0"/>
    <w:rsid w:val="000F59D6"/>
    <w:rsid w:val="001016A1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1401C"/>
    <w:rsid w:val="00220156"/>
    <w:rsid w:val="00244D46"/>
    <w:rsid w:val="00253162"/>
    <w:rsid w:val="00267348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47D0C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533C9"/>
    <w:rsid w:val="0056608E"/>
    <w:rsid w:val="005F3184"/>
    <w:rsid w:val="00605F82"/>
    <w:rsid w:val="006373F3"/>
    <w:rsid w:val="00665D0D"/>
    <w:rsid w:val="006661CC"/>
    <w:rsid w:val="00672690"/>
    <w:rsid w:val="006A2162"/>
    <w:rsid w:val="006E488D"/>
    <w:rsid w:val="006F2210"/>
    <w:rsid w:val="006F42BE"/>
    <w:rsid w:val="006F6999"/>
    <w:rsid w:val="00714310"/>
    <w:rsid w:val="007329C2"/>
    <w:rsid w:val="007417A5"/>
    <w:rsid w:val="00761B01"/>
    <w:rsid w:val="007E0BE8"/>
    <w:rsid w:val="00855DD8"/>
    <w:rsid w:val="00872A96"/>
    <w:rsid w:val="008A65D5"/>
    <w:rsid w:val="008E6293"/>
    <w:rsid w:val="00901F2D"/>
    <w:rsid w:val="0092390C"/>
    <w:rsid w:val="009269B0"/>
    <w:rsid w:val="009317D4"/>
    <w:rsid w:val="00991A49"/>
    <w:rsid w:val="009A1D4B"/>
    <w:rsid w:val="009C5C10"/>
    <w:rsid w:val="009D36B7"/>
    <w:rsid w:val="00A249F0"/>
    <w:rsid w:val="00A36686"/>
    <w:rsid w:val="00A44475"/>
    <w:rsid w:val="00A465D0"/>
    <w:rsid w:val="00A64FFF"/>
    <w:rsid w:val="00A80A95"/>
    <w:rsid w:val="00A83E26"/>
    <w:rsid w:val="00A92993"/>
    <w:rsid w:val="00AA77E5"/>
    <w:rsid w:val="00AD5C90"/>
    <w:rsid w:val="00B135C5"/>
    <w:rsid w:val="00B25501"/>
    <w:rsid w:val="00B266C0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85176"/>
    <w:rsid w:val="00C904E3"/>
    <w:rsid w:val="00C95A3A"/>
    <w:rsid w:val="00CA6029"/>
    <w:rsid w:val="00CC10EA"/>
    <w:rsid w:val="00CD6BD7"/>
    <w:rsid w:val="00CD79A9"/>
    <w:rsid w:val="00CE7854"/>
    <w:rsid w:val="00D45F6C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363B5"/>
    <w:rsid w:val="00E442C7"/>
    <w:rsid w:val="00E62C37"/>
    <w:rsid w:val="00E86463"/>
    <w:rsid w:val="00E95667"/>
    <w:rsid w:val="00EA3921"/>
    <w:rsid w:val="00EC3D12"/>
    <w:rsid w:val="00EF7447"/>
    <w:rsid w:val="00F06DAF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247A29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ulina.vg@promag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promagr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729B-A801-49A6-8969-A4A8BA4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100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33</cp:revision>
  <cp:lastPrinted>2016-04-20T10:23:00Z</cp:lastPrinted>
  <dcterms:created xsi:type="dcterms:W3CDTF">2016-12-08T05:28:00Z</dcterms:created>
  <dcterms:modified xsi:type="dcterms:W3CDTF">2017-08-09T08:33:00Z</dcterms:modified>
</cp:coreProperties>
</file>