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Default="00AA77E5" w:rsidP="00B91F7D">
      <w:pPr>
        <w:ind w:left="170" w:right="170"/>
        <w:jc w:val="right"/>
      </w:pPr>
      <w:r>
        <w:t xml:space="preserve"> </w:t>
      </w:r>
    </w:p>
    <w:p w:rsidR="00B91F7D" w:rsidRPr="00EC3D12" w:rsidRDefault="00B91F7D" w:rsidP="00046276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Извещение №</w:t>
      </w:r>
      <w:r w:rsidR="006E01C8">
        <w:rPr>
          <w:rFonts w:cstheme="minorHAnsi"/>
          <w:b/>
          <w:sz w:val="20"/>
          <w:szCs w:val="20"/>
          <w:lang w:bidi="ru-RU"/>
        </w:rPr>
        <w:t>431</w:t>
      </w:r>
      <w:r w:rsidRPr="00EC3D12">
        <w:rPr>
          <w:rFonts w:cstheme="minorHAnsi"/>
          <w:b/>
          <w:sz w:val="20"/>
          <w:szCs w:val="20"/>
          <w:lang w:bidi="ru-RU"/>
        </w:rPr>
        <w:t xml:space="preserve"> от «</w:t>
      </w:r>
      <w:r w:rsidR="003B5876">
        <w:rPr>
          <w:rFonts w:cstheme="minorHAnsi"/>
          <w:b/>
          <w:sz w:val="20"/>
          <w:szCs w:val="20"/>
          <w:lang w:bidi="ru-RU"/>
        </w:rPr>
        <w:t>25</w:t>
      </w:r>
      <w:r w:rsidRPr="00EC3D12">
        <w:rPr>
          <w:rFonts w:cstheme="minorHAnsi"/>
          <w:b/>
          <w:sz w:val="20"/>
          <w:szCs w:val="20"/>
          <w:lang w:bidi="ru-RU"/>
        </w:rPr>
        <w:t>»</w:t>
      </w:r>
      <w:r w:rsidR="00A01D5E">
        <w:rPr>
          <w:rFonts w:cstheme="minorHAnsi"/>
          <w:b/>
          <w:sz w:val="20"/>
          <w:szCs w:val="20"/>
          <w:lang w:bidi="ru-RU"/>
        </w:rPr>
        <w:t xml:space="preserve"> </w:t>
      </w:r>
      <w:r w:rsidR="00425269">
        <w:rPr>
          <w:rFonts w:cstheme="minorHAnsi"/>
          <w:b/>
          <w:sz w:val="20"/>
          <w:szCs w:val="20"/>
          <w:lang w:bidi="ru-RU"/>
        </w:rPr>
        <w:t>июл</w:t>
      </w:r>
      <w:r w:rsidR="00DE6CFE">
        <w:rPr>
          <w:rFonts w:cstheme="minorHAnsi"/>
          <w:b/>
          <w:sz w:val="20"/>
          <w:szCs w:val="20"/>
          <w:lang w:bidi="ru-RU"/>
        </w:rPr>
        <w:t>я</w:t>
      </w:r>
      <w:r w:rsidR="006478DC">
        <w:rPr>
          <w:rFonts w:cstheme="minorHAnsi"/>
          <w:b/>
          <w:sz w:val="20"/>
          <w:szCs w:val="20"/>
          <w:lang w:bidi="ru-RU"/>
        </w:rPr>
        <w:t xml:space="preserve"> </w:t>
      </w:r>
      <w:r w:rsidRPr="00EC3D12">
        <w:rPr>
          <w:rFonts w:cstheme="minorHAnsi"/>
          <w:b/>
          <w:sz w:val="20"/>
          <w:szCs w:val="20"/>
          <w:lang w:bidi="ru-RU"/>
        </w:rPr>
        <w:t>201</w:t>
      </w:r>
      <w:r w:rsidR="00EC3D12" w:rsidRPr="00EC3D12">
        <w:rPr>
          <w:rFonts w:cstheme="minorHAnsi"/>
          <w:b/>
          <w:sz w:val="20"/>
          <w:szCs w:val="20"/>
          <w:lang w:bidi="ru-RU"/>
        </w:rPr>
        <w:t>7</w:t>
      </w:r>
      <w:r w:rsidRPr="00EC3D12"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B91F7D" w:rsidRDefault="00B91F7D" w:rsidP="00046276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p w:rsidR="00046276" w:rsidRPr="00EC3D12" w:rsidRDefault="00046276" w:rsidP="00046276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</w:p>
    <w:tbl>
      <w:tblPr>
        <w:tblW w:w="9639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6550"/>
      </w:tblGrid>
      <w:tr w:rsidR="00B91F7D" w:rsidRPr="00EC3D12" w:rsidTr="00B91F7D">
        <w:trPr>
          <w:trHeight w:val="29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965685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</w:t>
            </w:r>
            <w:r w:rsidR="00965685">
              <w:rPr>
                <w:rStyle w:val="30pt"/>
                <w:rFonts w:eastAsia="Andale Sans UI" w:cstheme="minorHAnsi"/>
                <w:sz w:val="20"/>
                <w:szCs w:val="20"/>
              </w:rPr>
              <w:t>А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 «</w:t>
            </w:r>
            <w:r w:rsidR="00965685">
              <w:rPr>
                <w:rStyle w:val="30pt"/>
                <w:rFonts w:eastAsia="Andale Sans UI" w:cstheme="minorHAnsi"/>
                <w:sz w:val="20"/>
                <w:szCs w:val="20"/>
              </w:rPr>
              <w:t>Агрофирма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 xml:space="preserve"> «</w:t>
            </w:r>
            <w:proofErr w:type="spellStart"/>
            <w:r w:rsidR="00965685">
              <w:rPr>
                <w:rStyle w:val="30pt"/>
                <w:rFonts w:eastAsia="Andale Sans UI" w:cstheme="minorHAnsi"/>
                <w:sz w:val="20"/>
                <w:szCs w:val="20"/>
              </w:rPr>
              <w:t>Роговатовская</w:t>
            </w:r>
            <w:proofErr w:type="spellEnd"/>
            <w:r w:rsidR="00965685">
              <w:rPr>
                <w:rStyle w:val="30pt"/>
                <w:rFonts w:eastAsia="Andale Sans UI" w:cstheme="minorHAnsi"/>
                <w:sz w:val="20"/>
                <w:szCs w:val="20"/>
              </w:rPr>
              <w:t xml:space="preserve"> Нива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»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C0E2C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309514, Белгородская обл., г.</w:t>
            </w:r>
            <w:r w:rsidR="00C334B6" w:rsidRPr="00EC3D12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>Старый Оскол, ул. Ленина 71/12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Вавулина Виктория Геннадиевна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Начальник тендерного отдела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 xml:space="preserve">+7 (4725) </w:t>
            </w:r>
            <w:r w:rsidR="004B1662" w:rsidRPr="00EC3D12">
              <w:rPr>
                <w:rFonts w:cstheme="minorHAnsi"/>
                <w:sz w:val="20"/>
                <w:szCs w:val="20"/>
                <w:lang w:bidi="ru-RU"/>
              </w:rPr>
              <w:t xml:space="preserve"> 45-03-97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6E01C8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hyperlink r:id="rId7" w:history="1"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Vavulina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bidi="en-US"/>
                </w:rPr>
                <w:t>.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vg@promagro.ru</w:t>
              </w:r>
            </w:hyperlink>
          </w:p>
        </w:tc>
      </w:tr>
      <w:tr w:rsidR="003B5876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76" w:rsidRPr="003B5876" w:rsidRDefault="003B5876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en-US"/>
              </w:rPr>
              <w:t>Инициатор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76" w:rsidRPr="00C557EE" w:rsidRDefault="003B5876" w:rsidP="00EC3D12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C557EE">
              <w:rPr>
                <w:sz w:val="20"/>
                <w:szCs w:val="20"/>
              </w:rPr>
              <w:t>Мерецкий Сергей Викторович     тел.</w:t>
            </w:r>
            <w:r w:rsidR="002856FD" w:rsidRPr="00C557EE">
              <w:rPr>
                <w:sz w:val="20"/>
                <w:szCs w:val="20"/>
              </w:rPr>
              <w:t>+7(425)49-04-90</w:t>
            </w:r>
          </w:p>
          <w:p w:rsidR="002856FD" w:rsidRPr="00C557EE" w:rsidRDefault="002856FD" w:rsidP="00C557EE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C557EE">
              <w:rPr>
                <w:sz w:val="20"/>
                <w:szCs w:val="20"/>
              </w:rPr>
              <w:t>Юди</w:t>
            </w:r>
            <w:r w:rsidR="00480782" w:rsidRPr="00C557EE">
              <w:rPr>
                <w:sz w:val="20"/>
                <w:szCs w:val="20"/>
              </w:rPr>
              <w:t>н Александр Вячеславович   тел.</w:t>
            </w:r>
            <w:r w:rsidRPr="00C557EE">
              <w:rPr>
                <w:sz w:val="20"/>
                <w:szCs w:val="20"/>
              </w:rPr>
              <w:t xml:space="preserve"> </w:t>
            </w:r>
            <w:r w:rsidR="00C557EE">
              <w:rPr>
                <w:sz w:val="20"/>
                <w:szCs w:val="20"/>
              </w:rPr>
              <w:t xml:space="preserve">+7(425)49-04-31 , </w:t>
            </w:r>
            <w:r w:rsidRPr="00C557EE">
              <w:rPr>
                <w:sz w:val="20"/>
                <w:szCs w:val="20"/>
              </w:rPr>
              <w:t xml:space="preserve"> 8-952-424-70-17</w:t>
            </w:r>
          </w:p>
        </w:tc>
      </w:tr>
      <w:tr w:rsidR="00C17873" w:rsidRPr="00EC3D12" w:rsidTr="00A630E2">
        <w:trPr>
          <w:trHeight w:val="29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873" w:rsidRDefault="00C17873" w:rsidP="00EC3D12">
            <w:pPr>
              <w:spacing w:before="120" w:after="120"/>
              <w:ind w:left="170" w:right="170"/>
              <w:jc w:val="both"/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755417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sz w:val="20"/>
                  <w:szCs w:val="20"/>
                </w:rPr>
                <w:t>@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55417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C548C2" w:rsidP="006E01C8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Обязательства по поставке</w:t>
            </w:r>
            <w:r w:rsidR="00593754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B5876" w:rsidRPr="003B587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запасных частей </w:t>
            </w:r>
            <w:r w:rsidR="00531382" w:rsidRPr="00531382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E01C8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для плуга </w:t>
            </w:r>
            <w:proofErr w:type="spellStart"/>
            <w:r w:rsidR="006E01C8" w:rsidRPr="006E01C8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Gregoire</w:t>
            </w:r>
            <w:proofErr w:type="spellEnd"/>
            <w:r w:rsidR="006E01C8" w:rsidRPr="006E01C8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6E01C8" w:rsidRPr="006E01C8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Besson</w:t>
            </w:r>
            <w:proofErr w:type="spellEnd"/>
            <w:r w:rsidR="006E01C8" w:rsidRPr="006E01C8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SPML9</w:t>
            </w:r>
            <w:r w:rsidR="006E01C8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6E01C8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Лот №</w:t>
            </w:r>
            <w:r w:rsidR="00AD16BF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01C8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431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:</w:t>
            </w:r>
            <w:r w:rsidR="006478DC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6E01C8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270 111,30</w:t>
            </w:r>
            <w:r w:rsidR="00965685" w:rsidRPr="0096568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6568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рубл</w:t>
            </w:r>
            <w:r w:rsidR="00A01D5E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ей</w:t>
            </w:r>
            <w:r w:rsidRPr="0096568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, с НДС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DE6CFE" w:rsidP="006E01C8">
            <w:pPr>
              <w:spacing w:before="120" w:after="120"/>
              <w:ind w:right="170"/>
              <w:rPr>
                <w:rFonts w:cstheme="minorHAnsi"/>
                <w:sz w:val="20"/>
                <w:szCs w:val="20"/>
              </w:rPr>
            </w:pPr>
            <w:r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E01C8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270 111,30</w:t>
            </w:r>
            <w:r w:rsidR="00D969C2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A56AB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72285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B1662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рубл</w:t>
            </w:r>
            <w:r w:rsidR="00AD16BF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ей</w:t>
            </w:r>
            <w:r w:rsidR="004B1662" w:rsidRPr="00EC3D12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, с НДС</w:t>
            </w:r>
            <w:r w:rsidR="00F65E0F" w:rsidRPr="00EC3D12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ых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доставку до склада Покупателя, а также все предусмотренные действующим законодательством налоги и сборы согласно условиям, указанны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м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  <w:r w:rsidR="003B587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3B5876" w:rsidRPr="003B587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Только официальный дилер.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59375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112A5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или по отдельным позициям</w:t>
            </w:r>
            <w:r w:rsidR="00D77459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Сроки поставки ТМЦ, выполнения работ, оказания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услуг: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Согласно заявки.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Отсутствие задолженности по начисленным налогам и иным обязательным платежам в бюджет любого уровня.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заявке участника запроса предложений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Товара, согласно п.2 Лота (по каждой позиции).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12A5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, в лоте, в настоящем извещении.</w:t>
            </w:r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A49" w:rsidRPr="00EC3D12" w:rsidRDefault="00B91F7D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EC3D12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2E4C0B" w:rsidP="0053138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Поставка </w:t>
            </w:r>
            <w:r w:rsidR="00A01601" w:rsidRPr="003B587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запасных частей</w:t>
            </w:r>
            <w:r w:rsidR="00531382" w:rsidRPr="00531382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E01C8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для плуга </w:t>
            </w:r>
            <w:proofErr w:type="spellStart"/>
            <w:r w:rsidR="006E01C8" w:rsidRPr="006E01C8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Gregoire</w:t>
            </w:r>
            <w:proofErr w:type="spellEnd"/>
            <w:r w:rsidR="006E01C8" w:rsidRPr="006E01C8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6E01C8" w:rsidRPr="006E01C8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Besson</w:t>
            </w:r>
            <w:proofErr w:type="spellEnd"/>
            <w:r w:rsidR="006E01C8" w:rsidRPr="006E01C8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SPML9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требования к размерам, упаковке, отгрузке товара, требования к результатам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Качество оказанных услуг, товара должно соответствовать требованиям действующих в РФ ГОСТам и ТУ, должно быть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</w:t>
            </w:r>
            <w:r w:rsidR="009A1D4B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.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д.)</w:t>
            </w:r>
          </w:p>
          <w:p w:rsidR="00B91F7D" w:rsidRPr="00EC3D12" w:rsidRDefault="00B91F7D" w:rsidP="00C334B6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</w:t>
            </w:r>
            <w:r w:rsidR="00C334B6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оекту договора и Лота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. 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Продавец гарантирует, что: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поставляемый товар не вывезен из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Style w:val="1"/>
                <w:rFonts w:asciiTheme="minorHAnsi" w:eastAsia="Andale Sans UI" w:hAnsiTheme="minorHAnsi" w:cstheme="minorHAns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Источник финансирования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Поставка Товара производится согласно, условий, указа</w:t>
            </w:r>
            <w:r w:rsidR="00C334B6" w:rsidRPr="00EC3D12">
              <w:rPr>
                <w:rFonts w:cstheme="minorHAnsi"/>
                <w:color w:val="000000"/>
                <w:lang w:bidi="ru-RU"/>
              </w:rPr>
              <w:t>нных в проекте Договора и Лоте</w:t>
            </w:r>
            <w:r w:rsidRPr="00EC3D12">
              <w:rPr>
                <w:rFonts w:cstheme="minorHAnsi"/>
                <w:color w:val="000000"/>
                <w:lang w:bidi="ru-RU"/>
              </w:rPr>
              <w:t>.</w:t>
            </w:r>
          </w:p>
          <w:p w:rsidR="00B91F7D" w:rsidRPr="00EC3D12" w:rsidRDefault="00B91F7D" w:rsidP="00965685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Поставка Товара производится, согласно следующего базиса поставки: - доставка Продавцом, за счет Продавца на склад Покупателя,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место поставки Белгородская обл.,  </w:t>
            </w:r>
            <w:proofErr w:type="spellStart"/>
            <w:r w:rsidR="00965685">
              <w:rPr>
                <w:rFonts w:cstheme="minorHAnsi"/>
                <w:b/>
                <w:color w:val="000000"/>
                <w:u w:val="single"/>
                <w:lang w:bidi="ru-RU"/>
              </w:rPr>
              <w:t>Старооскольский</w:t>
            </w:r>
            <w:proofErr w:type="spellEnd"/>
            <w:r w:rsidR="00965685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 район, село </w:t>
            </w:r>
            <w:proofErr w:type="spellStart"/>
            <w:r w:rsidR="00965685">
              <w:rPr>
                <w:rFonts w:cstheme="minorHAnsi"/>
                <w:b/>
                <w:color w:val="000000"/>
                <w:u w:val="single"/>
                <w:lang w:bidi="ru-RU"/>
              </w:rPr>
              <w:t>Роговатое</w:t>
            </w:r>
            <w:proofErr w:type="spellEnd"/>
            <w:r w:rsidR="00AC23DD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, Агрофирма </w:t>
            </w:r>
            <w:proofErr w:type="spellStart"/>
            <w:r w:rsidR="00AC23DD">
              <w:rPr>
                <w:rFonts w:cstheme="minorHAnsi"/>
                <w:b/>
                <w:color w:val="000000"/>
                <w:u w:val="single"/>
                <w:lang w:bidi="ru-RU"/>
              </w:rPr>
              <w:t>Роговатовская</w:t>
            </w:r>
            <w:proofErr w:type="spellEnd"/>
            <w:r w:rsidR="00AC23DD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 Нива.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</w:t>
            </w:r>
            <w:proofErr w:type="gramStart"/>
            <w:r w:rsidRPr="00EC3D12">
              <w:rPr>
                <w:rFonts w:cstheme="minorHAnsi"/>
                <w:color w:val="000000"/>
                <w:lang w:bidi="ru-RU"/>
              </w:rPr>
              <w:t>порядка  оплаты</w:t>
            </w:r>
            <w:proofErr w:type="gramEnd"/>
            <w:r w:rsidRPr="00EC3D12">
              <w:rPr>
                <w:rFonts w:cstheme="minorHAnsi"/>
                <w:color w:val="000000"/>
                <w:lang w:bidi="ru-RU"/>
              </w:rPr>
              <w:t xml:space="preserve"> (отсрочка платежа). Победитель запроса предложений при заключении договора на</w:t>
            </w:r>
            <w:r w:rsidR="00FE1D73" w:rsidRPr="00EC3D12">
              <w:rPr>
                <w:rFonts w:cstheme="minorHAnsi"/>
                <w:color w:val="000000"/>
                <w:lang w:bidi="ru-RU"/>
              </w:rPr>
              <w:t xml:space="preserve"> поставку товаров,</w:t>
            </w:r>
            <w:r w:rsidRPr="00EC3D12">
              <w:rPr>
                <w:rFonts w:cstheme="minorHAnsi"/>
                <w:color w:val="000000"/>
                <w:lang w:bidi="ru-RU"/>
              </w:rPr>
              <w:t xml:space="preserve"> согласно Лота-указывает лучшие цены на каждый поставляемый товар в данном Приложении.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  <w:p w:rsidR="00991A49" w:rsidRPr="00EC3D12" w:rsidRDefault="00991A49" w:rsidP="00425269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и время начала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A63DC7" w:rsidRDefault="003B5876" w:rsidP="00D969C2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25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0</w:t>
            </w:r>
            <w:r w:rsidR="00425269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 xml:space="preserve"> г с </w:t>
            </w:r>
            <w:r w:rsidR="00531382">
              <w:rPr>
                <w:rFonts w:cstheme="minorHAnsi"/>
                <w:b/>
                <w:color w:val="000000"/>
                <w:lang w:bidi="ru-RU"/>
              </w:rPr>
              <w:t>14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:</w:t>
            </w:r>
            <w:r>
              <w:rPr>
                <w:rFonts w:cstheme="minorHAnsi"/>
                <w:b/>
                <w:color w:val="000000"/>
                <w:lang w:bidi="ru-RU"/>
              </w:rPr>
              <w:t>00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A63DC7" w:rsidRDefault="00531382" w:rsidP="00D969C2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28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0</w:t>
            </w:r>
            <w:r w:rsidR="00425269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7</w:t>
            </w:r>
            <w:r w:rsidR="006E01C8">
              <w:rPr>
                <w:rFonts w:cstheme="minorHAnsi"/>
                <w:b/>
                <w:color w:val="000000"/>
                <w:lang w:bidi="ru-RU"/>
              </w:rPr>
              <w:t xml:space="preserve"> г 11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: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 xml:space="preserve">00 </w:t>
            </w:r>
            <w:bookmarkStart w:id="0" w:name="_GoBack"/>
            <w:bookmarkEnd w:id="0"/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Адрес рассмотрения заявок участников запроса предложений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Белгородская область, г.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Старый Оскол, ул.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Ленина д.71/12</w:t>
            </w:r>
          </w:p>
        </w:tc>
      </w:tr>
      <w:tr w:rsidR="009269B0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9269B0">
            <w:pPr>
              <w:suppressAutoHyphens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Порядок предоставления заявок </w:t>
            </w:r>
          </w:p>
          <w:p w:rsidR="009269B0" w:rsidRPr="00EC3D12" w:rsidRDefault="009269B0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Котировочная заявка подается участником закупки заказчику в письменной форме или в форме электронного документа в срок, указанный в извещении о проведении запроса котировок.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Заявка и документы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участника,  направленные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в электронном виде, должны быть также переданы и по почте. Обязательным приложением к котировочной заявке являются копии следующих документов, заверенных печатью юридического лица (индивидуального предпринимателя):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-свидетельство о регистрации юридического лица (индивидуального предпринимателя); 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-свидетельство о постановке на налоговый учет (ИНН);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-устав юридического лица (первые 4 листа и последний лист, с двух сторон);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 решение учредителя, или протокол собрания учредителей (акционеров) о назначении единоличного исполнительного органа;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 выписка из Единого государственного реестра юридических лиц (индивидуальных предпринимателей) (ЕГРЮЛ, ЕГРИП), сроком выдачи не позднее 3-х (трех)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месяцев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предшествующих дате заключения договора.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Заявку и сопроводительную документацию участник вправе передать нарочно представителю Заказчика.</w:t>
            </w:r>
          </w:p>
          <w:p w:rsidR="009269B0" w:rsidRPr="00EC3D12" w:rsidRDefault="009269B0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</w:tbl>
    <w:p w:rsidR="00253162" w:rsidRPr="00EC3D12" w:rsidRDefault="00B91F7D" w:rsidP="004B1662">
      <w:pPr>
        <w:ind w:left="170" w:right="170"/>
        <w:jc w:val="both"/>
        <w:rPr>
          <w:sz w:val="20"/>
          <w:szCs w:val="20"/>
        </w:rPr>
      </w:pPr>
      <w:r w:rsidRPr="00EC3D12">
        <w:rPr>
          <w:rFonts w:cstheme="minorHAnsi"/>
          <w:b/>
          <w:sz w:val="20"/>
          <w:szCs w:val="20"/>
        </w:rPr>
        <w:t xml:space="preserve">          </w:t>
      </w:r>
      <w:r w:rsidR="004B1662" w:rsidRPr="00EC3D12">
        <w:rPr>
          <w:rFonts w:cstheme="minorHAnsi"/>
          <w:b/>
          <w:sz w:val="20"/>
          <w:szCs w:val="20"/>
        </w:rPr>
        <w:t xml:space="preserve">Начальник тендерного </w:t>
      </w:r>
      <w:proofErr w:type="gramStart"/>
      <w:r w:rsidR="004B1662" w:rsidRPr="00EC3D12">
        <w:rPr>
          <w:rFonts w:cstheme="minorHAnsi"/>
          <w:b/>
          <w:sz w:val="20"/>
          <w:szCs w:val="20"/>
        </w:rPr>
        <w:t>отдела</w:t>
      </w:r>
      <w:r w:rsidR="00EC3D12" w:rsidRPr="00EC3D12">
        <w:rPr>
          <w:rFonts w:cstheme="minorHAnsi"/>
          <w:b/>
          <w:sz w:val="20"/>
          <w:szCs w:val="20"/>
        </w:rPr>
        <w:t xml:space="preserve"> :</w:t>
      </w:r>
      <w:proofErr w:type="gramEnd"/>
      <w:r w:rsidR="00EC3D12" w:rsidRPr="00EC3D12">
        <w:rPr>
          <w:rFonts w:cstheme="minorHAnsi"/>
          <w:b/>
          <w:sz w:val="20"/>
          <w:szCs w:val="20"/>
        </w:rPr>
        <w:t xml:space="preserve"> </w:t>
      </w:r>
      <w:r w:rsidR="004B1662" w:rsidRPr="00EC3D12">
        <w:rPr>
          <w:rFonts w:cstheme="minorHAnsi"/>
          <w:b/>
          <w:sz w:val="20"/>
          <w:szCs w:val="20"/>
        </w:rPr>
        <w:t>В.Г. Вавулина</w:t>
      </w:r>
    </w:p>
    <w:sectPr w:rsidR="00253162" w:rsidRPr="00EC3D12" w:rsidSect="00714310">
      <w:footerReference w:type="default" r:id="rId9"/>
      <w:headerReference w:type="first" r:id="rId10"/>
      <w:footerReference w:type="first" r:id="rId11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42D" w:rsidRDefault="00AF242D" w:rsidP="00AA77E5">
      <w:pPr>
        <w:spacing w:after="0" w:line="240" w:lineRule="auto"/>
      </w:pPr>
      <w:r>
        <w:separator/>
      </w:r>
    </w:p>
  </w:endnote>
  <w:endnote w:type="continuationSeparator" w:id="0">
    <w:p w:rsidR="00AF242D" w:rsidRDefault="00AF242D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6E01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6E01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42D" w:rsidRDefault="00AF242D" w:rsidP="00AA77E5">
      <w:pPr>
        <w:spacing w:after="0" w:line="240" w:lineRule="auto"/>
      </w:pPr>
      <w:r>
        <w:separator/>
      </w:r>
    </w:p>
  </w:footnote>
  <w:footnote w:type="continuationSeparator" w:id="0">
    <w:p w:rsidR="00AF242D" w:rsidRDefault="00AF242D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872285" w:rsidRDefault="00714310" w:rsidP="0087228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872285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872285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5"/>
    <w:rsid w:val="000038CA"/>
    <w:rsid w:val="00013D7F"/>
    <w:rsid w:val="00046276"/>
    <w:rsid w:val="000713A8"/>
    <w:rsid w:val="00086AD4"/>
    <w:rsid w:val="000B2F2E"/>
    <w:rsid w:val="000C4383"/>
    <w:rsid w:val="000D6E21"/>
    <w:rsid w:val="000F34D0"/>
    <w:rsid w:val="000F59D6"/>
    <w:rsid w:val="00112A52"/>
    <w:rsid w:val="00130222"/>
    <w:rsid w:val="00143696"/>
    <w:rsid w:val="001463C5"/>
    <w:rsid w:val="00186276"/>
    <w:rsid w:val="00196840"/>
    <w:rsid w:val="001A5DA3"/>
    <w:rsid w:val="001C0E2C"/>
    <w:rsid w:val="001C762B"/>
    <w:rsid w:val="001D1872"/>
    <w:rsid w:val="00220156"/>
    <w:rsid w:val="0022650A"/>
    <w:rsid w:val="00253162"/>
    <w:rsid w:val="002856FD"/>
    <w:rsid w:val="0028645A"/>
    <w:rsid w:val="00287695"/>
    <w:rsid w:val="00291CB4"/>
    <w:rsid w:val="002B4243"/>
    <w:rsid w:val="002C4FC6"/>
    <w:rsid w:val="002E4C0B"/>
    <w:rsid w:val="002E71C7"/>
    <w:rsid w:val="00317485"/>
    <w:rsid w:val="003464F0"/>
    <w:rsid w:val="003632C9"/>
    <w:rsid w:val="00364DE0"/>
    <w:rsid w:val="00365319"/>
    <w:rsid w:val="00376CBD"/>
    <w:rsid w:val="003A3369"/>
    <w:rsid w:val="003A73D3"/>
    <w:rsid w:val="003B5876"/>
    <w:rsid w:val="003C3394"/>
    <w:rsid w:val="003D1E53"/>
    <w:rsid w:val="003D3EAA"/>
    <w:rsid w:val="003D4A74"/>
    <w:rsid w:val="003E65CA"/>
    <w:rsid w:val="00421070"/>
    <w:rsid w:val="00425269"/>
    <w:rsid w:val="00430F5D"/>
    <w:rsid w:val="004435C9"/>
    <w:rsid w:val="00480782"/>
    <w:rsid w:val="00484836"/>
    <w:rsid w:val="00492A7D"/>
    <w:rsid w:val="004B1662"/>
    <w:rsid w:val="004B32AB"/>
    <w:rsid w:val="004B3F9F"/>
    <w:rsid w:val="004B626F"/>
    <w:rsid w:val="004F5411"/>
    <w:rsid w:val="00531382"/>
    <w:rsid w:val="0053694F"/>
    <w:rsid w:val="00593754"/>
    <w:rsid w:val="005F3184"/>
    <w:rsid w:val="00605F82"/>
    <w:rsid w:val="00624FFF"/>
    <w:rsid w:val="006373F3"/>
    <w:rsid w:val="006478DC"/>
    <w:rsid w:val="00665D0D"/>
    <w:rsid w:val="006661CC"/>
    <w:rsid w:val="00672690"/>
    <w:rsid w:val="006E01C8"/>
    <w:rsid w:val="006E488D"/>
    <w:rsid w:val="006F2210"/>
    <w:rsid w:val="00714310"/>
    <w:rsid w:val="00736D58"/>
    <w:rsid w:val="007417A5"/>
    <w:rsid w:val="00762674"/>
    <w:rsid w:val="007835C4"/>
    <w:rsid w:val="007E0BE8"/>
    <w:rsid w:val="007F72C0"/>
    <w:rsid w:val="00855DD8"/>
    <w:rsid w:val="00864F16"/>
    <w:rsid w:val="00872285"/>
    <w:rsid w:val="00872A96"/>
    <w:rsid w:val="008A65D5"/>
    <w:rsid w:val="00901F2D"/>
    <w:rsid w:val="0092390C"/>
    <w:rsid w:val="009269B0"/>
    <w:rsid w:val="009317D4"/>
    <w:rsid w:val="00965685"/>
    <w:rsid w:val="00991A49"/>
    <w:rsid w:val="009A1D4B"/>
    <w:rsid w:val="009D36B7"/>
    <w:rsid w:val="00A01601"/>
    <w:rsid w:val="00A01D5E"/>
    <w:rsid w:val="00A249F0"/>
    <w:rsid w:val="00A36686"/>
    <w:rsid w:val="00A44475"/>
    <w:rsid w:val="00A465D0"/>
    <w:rsid w:val="00A63DC7"/>
    <w:rsid w:val="00A80A95"/>
    <w:rsid w:val="00A82EA7"/>
    <w:rsid w:val="00A83E26"/>
    <w:rsid w:val="00A92993"/>
    <w:rsid w:val="00AA56AB"/>
    <w:rsid w:val="00AA77E5"/>
    <w:rsid w:val="00AC23DD"/>
    <w:rsid w:val="00AC72F5"/>
    <w:rsid w:val="00AD16BF"/>
    <w:rsid w:val="00AF242D"/>
    <w:rsid w:val="00B135C5"/>
    <w:rsid w:val="00B25501"/>
    <w:rsid w:val="00B578D8"/>
    <w:rsid w:val="00B60635"/>
    <w:rsid w:val="00B91F7D"/>
    <w:rsid w:val="00BB5D4B"/>
    <w:rsid w:val="00BE3D18"/>
    <w:rsid w:val="00BF01C4"/>
    <w:rsid w:val="00BF6CB8"/>
    <w:rsid w:val="00C17873"/>
    <w:rsid w:val="00C30F5C"/>
    <w:rsid w:val="00C334B6"/>
    <w:rsid w:val="00C44C96"/>
    <w:rsid w:val="00C548C2"/>
    <w:rsid w:val="00C557EE"/>
    <w:rsid w:val="00C64B6B"/>
    <w:rsid w:val="00C712FB"/>
    <w:rsid w:val="00C84D68"/>
    <w:rsid w:val="00C904E3"/>
    <w:rsid w:val="00C95A3A"/>
    <w:rsid w:val="00CD6BD7"/>
    <w:rsid w:val="00CE7854"/>
    <w:rsid w:val="00D56788"/>
    <w:rsid w:val="00D77459"/>
    <w:rsid w:val="00D969C2"/>
    <w:rsid w:val="00DA3791"/>
    <w:rsid w:val="00DB2B33"/>
    <w:rsid w:val="00DE0AE3"/>
    <w:rsid w:val="00DE4BD3"/>
    <w:rsid w:val="00DE6CFE"/>
    <w:rsid w:val="00E06E36"/>
    <w:rsid w:val="00E15804"/>
    <w:rsid w:val="00E17F49"/>
    <w:rsid w:val="00E442C7"/>
    <w:rsid w:val="00E86463"/>
    <w:rsid w:val="00EC3D12"/>
    <w:rsid w:val="00ED11D4"/>
    <w:rsid w:val="00EF7447"/>
    <w:rsid w:val="00F26CD3"/>
    <w:rsid w:val="00F47303"/>
    <w:rsid w:val="00F52BB4"/>
    <w:rsid w:val="00F61752"/>
    <w:rsid w:val="00F65E0F"/>
    <w:rsid w:val="00F7060C"/>
    <w:rsid w:val="00F71E44"/>
    <w:rsid w:val="00F73F23"/>
    <w:rsid w:val="00F8338D"/>
    <w:rsid w:val="00F84B19"/>
    <w:rsid w:val="00FA19A6"/>
    <w:rsid w:val="00FE008E"/>
    <w:rsid w:val="00F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07A5008"/>
  <w15:docId w15:val="{83E3E011-85A2-4C97-BAB1-FA3783C9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ab">
    <w:name w:val="Основной текст_"/>
    <w:basedOn w:val="a0"/>
    <w:link w:val="3"/>
    <w:rsid w:val="00B91F7D"/>
    <w:rPr>
      <w:rFonts w:eastAsia="Times New Roman" w:cs="Times New Roman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a0"/>
    <w:rsid w:val="00B91F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B91F7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</w:rPr>
  </w:style>
  <w:style w:type="character" w:customStyle="1" w:styleId="1">
    <w:name w:val="Основной текст1"/>
    <w:basedOn w:val="ab"/>
    <w:rsid w:val="00B91F7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B91F7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1F7D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1F7D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c">
    <w:name w:val="Hyperlink"/>
    <w:basedOn w:val="a0"/>
    <w:uiPriority w:val="99"/>
    <w:unhideWhenUsed/>
    <w:rsid w:val="004B1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vulina.vg@promag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081;\Desktop\&#1040;&#1055;&#1050;%20&#1055;&#1056;&#1054;&#1052;&#1040;&#1043;&#1056;&#1054;%20&#1084;&#1085;&#1086;&#1075;&#1086;&#1089;&#1090;&#1088;&#1072;&#1085;&#1080;&#109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96F78-138D-44C4-ADD6-363AB56A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АПК ПРОМАГРО многостраничный</Template>
  <TotalTime>95</TotalTime>
  <Pages>4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Нечаева Евгения Владимировна</cp:lastModifiedBy>
  <cp:revision>35</cp:revision>
  <cp:lastPrinted>2016-04-20T10:23:00Z</cp:lastPrinted>
  <dcterms:created xsi:type="dcterms:W3CDTF">2016-12-08T05:28:00Z</dcterms:created>
  <dcterms:modified xsi:type="dcterms:W3CDTF">2017-07-25T08:46:00Z</dcterms:modified>
</cp:coreProperties>
</file>