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EC3D12" w:rsidTr="00EC3D12">
        <w:trPr>
          <w:trHeight w:val="1692"/>
        </w:trPr>
        <w:tc>
          <w:tcPr>
            <w:tcW w:w="3085" w:type="dxa"/>
            <w:vAlign w:val="bottom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promagro</w:t>
            </w:r>
            <w:r>
              <w:rPr>
                <w:sz w:val="16"/>
                <w:szCs w:val="16"/>
              </w:rPr>
              <w:t>.</w:t>
            </w:r>
            <w:r w:rsidR="00432623"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r>
              <w:rPr>
                <w:color w:val="00AA50"/>
                <w:sz w:val="16"/>
                <w:szCs w:val="16"/>
              </w:rPr>
              <w:t>.</w:t>
            </w:r>
            <w:r w:rsidR="00432623">
              <w:rPr>
                <w:color w:val="00AA50"/>
                <w:sz w:val="16"/>
                <w:szCs w:val="16"/>
                <w:lang w:val="en-US"/>
              </w:rPr>
              <w:t>ru</w:t>
            </w:r>
          </w:p>
        </w:tc>
        <w:tc>
          <w:tcPr>
            <w:tcW w:w="2301" w:type="dxa"/>
          </w:tcPr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Старооскольском филиале</w:t>
            </w:r>
          </w:p>
          <w:p w:rsidR="00EC3D12" w:rsidRDefault="00EC3D12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«Белгородсоцбанк»</w:t>
            </w:r>
          </w:p>
        </w:tc>
      </w:tr>
    </w:tbl>
    <w:p w:rsidR="00EC3D12" w:rsidRDefault="00EC3D12" w:rsidP="00EC3D1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12" w:rsidRDefault="00EC3D12" w:rsidP="00EC3D12">
      <w:pPr>
        <w:ind w:left="170" w:right="170"/>
        <w:jc w:val="right"/>
      </w:pPr>
      <w:r>
        <w:t xml:space="preserve"> </w:t>
      </w:r>
    </w:p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B91F7D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32623">
        <w:rPr>
          <w:rFonts w:cstheme="minorHAnsi"/>
          <w:b/>
          <w:sz w:val="20"/>
          <w:szCs w:val="20"/>
          <w:lang w:bidi="ru-RU"/>
        </w:rPr>
        <w:t>417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 «</w:t>
      </w:r>
      <w:r w:rsidR="00432623">
        <w:rPr>
          <w:rFonts w:cstheme="minorHAnsi"/>
          <w:b/>
          <w:sz w:val="20"/>
          <w:szCs w:val="20"/>
          <w:lang w:bidi="ru-RU"/>
        </w:rPr>
        <w:t>13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="00A908EC">
        <w:rPr>
          <w:rFonts w:cstheme="minorHAnsi"/>
          <w:b/>
          <w:sz w:val="20"/>
          <w:szCs w:val="20"/>
          <w:lang w:bidi="ru-RU"/>
        </w:rPr>
        <w:t xml:space="preserve"> июля</w:t>
      </w:r>
      <w:r w:rsidR="00BC275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249F0">
      <w:pPr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32623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8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735966" w:rsidRPr="00EC3D12" w:rsidTr="00643A91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966" w:rsidRDefault="00735966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9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A908E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по </w:t>
            </w:r>
            <w:r w:rsidR="00A908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восстановлению теплообменников (2шт) зерносушилки СК-20</w:t>
            </w:r>
            <w:r w:rsidR="007575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A908E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3262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417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A908E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740 000</w:t>
            </w:r>
            <w:r w:rsidR="005676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908EC" w:rsidP="00350A04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740 000</w:t>
            </w:r>
            <w:r w:rsidR="005676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7580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57580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рублей,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A21BC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A21BC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Согласно </w:t>
            </w:r>
            <w:r w:rsidR="00A21BC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A908EC" w:rsidP="00350A0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Восстановление теплообменников (2шт.) зерносушилки СК -20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A908EC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</w:t>
            </w:r>
            <w:r w:rsidR="00DA2461">
              <w:rPr>
                <w:rFonts w:cstheme="minorHAnsi"/>
                <w:b/>
                <w:color w:val="000000"/>
                <w:u w:val="single"/>
                <w:lang w:bidi="ru-RU"/>
              </w:rPr>
              <w:t>:</w:t>
            </w:r>
            <w:r w:rsidR="00DA2461" w:rsidRPr="00F427C9">
              <w:rPr>
                <w:rFonts w:cstheme="minorHAnsi"/>
                <w:b/>
                <w:color w:val="000000"/>
                <w:lang w:bidi="ru-RU"/>
              </w:rPr>
              <w:t xml:space="preserve"> Белгородская обл., </w:t>
            </w:r>
            <w:r w:rsidR="00A908EC">
              <w:rPr>
                <w:rFonts w:cstheme="minorHAnsi"/>
                <w:b/>
                <w:color w:val="000000"/>
                <w:lang w:bidi="ru-RU"/>
              </w:rPr>
              <w:t>г. Старый Оскол, ул. 1-ой Конной Армии, Промкомзона (Завод по производству комбикормов площадка №1)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- </w:t>
            </w:r>
            <w:r w:rsidR="005676FC">
              <w:rPr>
                <w:rFonts w:cstheme="minorHAnsi"/>
                <w:color w:val="000000"/>
                <w:lang w:bidi="ru-RU"/>
              </w:rPr>
              <w:t xml:space="preserve">предоплата 30%, окончательная </w:t>
            </w:r>
            <w:r w:rsidR="00757580">
              <w:rPr>
                <w:rFonts w:cstheme="minorHAnsi"/>
                <w:color w:val="000000"/>
                <w:lang w:bidi="ru-RU"/>
              </w:rPr>
              <w:t>оплата не позднее 10 банковских дней</w:t>
            </w:r>
            <w:r w:rsidR="00F43232">
              <w:rPr>
                <w:rFonts w:cstheme="minorHAnsi"/>
                <w:color w:val="000000"/>
                <w:lang w:bidi="ru-RU"/>
              </w:rPr>
              <w:t xml:space="preserve"> после подписания акта выполненных работ.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432623" w:rsidP="00757580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A908E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735966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DA246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432623" w:rsidP="005676FC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A908E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3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DA246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Заявка и документы участника,  направленные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выписка из Единого государственного реестра юридических лиц (индивидуальных предпринимателей) (ЕГРЮЛ, ЕГРИП), сроком выдачи не позднее 3-х (трех) месяцев предшествующих дате заключения договора.</w:t>
            </w:r>
          </w:p>
          <w:p w:rsidR="009269B0" w:rsidRPr="00EC3D12" w:rsidRDefault="009269B0" w:rsidP="00757580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B91F7D" w:rsidRPr="00EC3D12" w:rsidRDefault="00B91F7D" w:rsidP="00B91F7D">
      <w:pPr>
        <w:ind w:left="170" w:right="170"/>
        <w:jc w:val="both"/>
        <w:rPr>
          <w:rFonts w:cstheme="minorHAnsi"/>
          <w:b/>
          <w:sz w:val="20"/>
          <w:szCs w:val="20"/>
        </w:rPr>
      </w:pPr>
    </w:p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>Начальник тендерного отдела</w:t>
      </w:r>
      <w:r w:rsidR="00EC3D12" w:rsidRPr="00EC3D12">
        <w:rPr>
          <w:rFonts w:cstheme="minorHAnsi"/>
          <w:b/>
          <w:sz w:val="20"/>
          <w:szCs w:val="20"/>
        </w:rPr>
        <w:t xml:space="preserve"> :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10"/>
      <w:headerReference w:type="first" r:id="rId11"/>
      <w:footerReference w:type="first" r:id="rId12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99" w:rsidRDefault="00072A99" w:rsidP="00AA77E5">
      <w:pPr>
        <w:spacing w:after="0" w:line="240" w:lineRule="auto"/>
      </w:pPr>
      <w:r>
        <w:separator/>
      </w:r>
    </w:p>
  </w:endnote>
  <w:endnote w:type="continuationSeparator" w:id="0">
    <w:p w:rsidR="00072A99" w:rsidRDefault="00072A9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4326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4326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99" w:rsidRDefault="00072A99" w:rsidP="00AA77E5">
      <w:pPr>
        <w:spacing w:after="0" w:line="240" w:lineRule="auto"/>
      </w:pPr>
      <w:r>
        <w:separator/>
      </w:r>
    </w:p>
  </w:footnote>
  <w:footnote w:type="continuationSeparator" w:id="0">
    <w:p w:rsidR="00072A99" w:rsidRDefault="00072A9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Pr="00AA77E5">
            <w:rPr>
              <w:sz w:val="16"/>
              <w:szCs w:val="16"/>
              <w:lang w:val="en-US"/>
            </w:rPr>
            <w:t>org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org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2A99"/>
    <w:rsid w:val="00086AD4"/>
    <w:rsid w:val="000B2F2E"/>
    <w:rsid w:val="000B50F0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200EED"/>
    <w:rsid w:val="00220156"/>
    <w:rsid w:val="0024653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50A04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32623"/>
    <w:rsid w:val="004435C9"/>
    <w:rsid w:val="00484836"/>
    <w:rsid w:val="00492A7D"/>
    <w:rsid w:val="004B1662"/>
    <w:rsid w:val="004B32AB"/>
    <w:rsid w:val="004B3F9F"/>
    <w:rsid w:val="004B626F"/>
    <w:rsid w:val="004E287B"/>
    <w:rsid w:val="004F5411"/>
    <w:rsid w:val="0053694F"/>
    <w:rsid w:val="00536BA3"/>
    <w:rsid w:val="0056608E"/>
    <w:rsid w:val="005676FC"/>
    <w:rsid w:val="0058725C"/>
    <w:rsid w:val="005F3184"/>
    <w:rsid w:val="00605F82"/>
    <w:rsid w:val="006373F3"/>
    <w:rsid w:val="00665D0D"/>
    <w:rsid w:val="006661CC"/>
    <w:rsid w:val="00672690"/>
    <w:rsid w:val="006E488D"/>
    <w:rsid w:val="006F2210"/>
    <w:rsid w:val="00714310"/>
    <w:rsid w:val="00735966"/>
    <w:rsid w:val="007417A5"/>
    <w:rsid w:val="00757580"/>
    <w:rsid w:val="007E0BE8"/>
    <w:rsid w:val="00855DD8"/>
    <w:rsid w:val="00872A96"/>
    <w:rsid w:val="00890E71"/>
    <w:rsid w:val="008A65D5"/>
    <w:rsid w:val="00901F2D"/>
    <w:rsid w:val="0092390C"/>
    <w:rsid w:val="009269B0"/>
    <w:rsid w:val="009317D4"/>
    <w:rsid w:val="00991A49"/>
    <w:rsid w:val="009A1D4B"/>
    <w:rsid w:val="009D36B7"/>
    <w:rsid w:val="00A21BC9"/>
    <w:rsid w:val="00A249F0"/>
    <w:rsid w:val="00A34421"/>
    <w:rsid w:val="00A36686"/>
    <w:rsid w:val="00A44475"/>
    <w:rsid w:val="00A465D0"/>
    <w:rsid w:val="00A46935"/>
    <w:rsid w:val="00A64FFF"/>
    <w:rsid w:val="00A80A95"/>
    <w:rsid w:val="00A83E26"/>
    <w:rsid w:val="00A908EC"/>
    <w:rsid w:val="00A92993"/>
    <w:rsid w:val="00AA77E5"/>
    <w:rsid w:val="00AD5BA6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D6BD7"/>
    <w:rsid w:val="00CD79A9"/>
    <w:rsid w:val="00CE7854"/>
    <w:rsid w:val="00D56CBB"/>
    <w:rsid w:val="00D6269D"/>
    <w:rsid w:val="00D77459"/>
    <w:rsid w:val="00DA2461"/>
    <w:rsid w:val="00DA3791"/>
    <w:rsid w:val="00DB2B33"/>
    <w:rsid w:val="00DE4BD3"/>
    <w:rsid w:val="00E06E36"/>
    <w:rsid w:val="00E15804"/>
    <w:rsid w:val="00E17F49"/>
    <w:rsid w:val="00E442C7"/>
    <w:rsid w:val="00E86463"/>
    <w:rsid w:val="00EB42B8"/>
    <w:rsid w:val="00EC3D12"/>
    <w:rsid w:val="00EF47CD"/>
    <w:rsid w:val="00EF7447"/>
    <w:rsid w:val="00F26CD3"/>
    <w:rsid w:val="00F43232"/>
    <w:rsid w:val="00F47303"/>
    <w:rsid w:val="00F52BB4"/>
    <w:rsid w:val="00F65E0F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9188F0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vulina.vg@promagr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pliance@promagr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2EE1-0974-45C2-A62A-5F97DE5D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81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30</cp:revision>
  <cp:lastPrinted>2016-04-20T10:23:00Z</cp:lastPrinted>
  <dcterms:created xsi:type="dcterms:W3CDTF">2016-12-08T05:28:00Z</dcterms:created>
  <dcterms:modified xsi:type="dcterms:W3CDTF">2017-07-13T08:07:00Z</dcterms:modified>
</cp:coreProperties>
</file>