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2C17A0" w:rsidRDefault="00407ECF" w:rsidP="002C17A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2C17A0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2C17A0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0A2962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0A2962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 w:rsidRPr="000A2962">
        <w:rPr>
          <w:rFonts w:cstheme="minorHAnsi"/>
          <w:b/>
          <w:sz w:val="20"/>
          <w:szCs w:val="20"/>
          <w:u w:val="single"/>
        </w:rPr>
        <w:t xml:space="preserve"> </w:t>
      </w:r>
      <w:r w:rsidR="00921572">
        <w:rPr>
          <w:rFonts w:cstheme="minorHAnsi"/>
          <w:b/>
          <w:sz w:val="20"/>
          <w:szCs w:val="20"/>
          <w:u w:val="single"/>
        </w:rPr>
        <w:t>408</w:t>
      </w:r>
      <w:r w:rsidR="00C56E64" w:rsidRPr="000A2962">
        <w:rPr>
          <w:rFonts w:cstheme="minorHAnsi"/>
          <w:b/>
          <w:sz w:val="20"/>
          <w:szCs w:val="20"/>
          <w:u w:val="single"/>
        </w:rPr>
        <w:t xml:space="preserve"> </w:t>
      </w:r>
      <w:r w:rsidRPr="000A2962">
        <w:rPr>
          <w:rFonts w:cstheme="minorHAnsi"/>
          <w:b/>
          <w:sz w:val="20"/>
          <w:szCs w:val="20"/>
          <w:u w:val="single"/>
        </w:rPr>
        <w:t xml:space="preserve">от </w:t>
      </w:r>
      <w:r w:rsidR="00921572">
        <w:rPr>
          <w:rFonts w:cstheme="minorHAnsi"/>
          <w:b/>
          <w:sz w:val="20"/>
          <w:szCs w:val="20"/>
          <w:u w:val="single"/>
        </w:rPr>
        <w:t>10</w:t>
      </w:r>
      <w:r w:rsidRPr="000A2962">
        <w:rPr>
          <w:rFonts w:cstheme="minorHAnsi"/>
          <w:b/>
          <w:sz w:val="20"/>
          <w:szCs w:val="20"/>
          <w:u w:val="single"/>
        </w:rPr>
        <w:t>.</w:t>
      </w:r>
      <w:r w:rsidR="00407ECF" w:rsidRPr="000A2962">
        <w:rPr>
          <w:rFonts w:cstheme="minorHAnsi"/>
          <w:b/>
          <w:sz w:val="20"/>
          <w:szCs w:val="20"/>
          <w:u w:val="single"/>
        </w:rPr>
        <w:t>0</w:t>
      </w:r>
      <w:r w:rsidR="00921572">
        <w:rPr>
          <w:rFonts w:cstheme="minorHAnsi"/>
          <w:b/>
          <w:sz w:val="20"/>
          <w:szCs w:val="20"/>
          <w:u w:val="single"/>
        </w:rPr>
        <w:t>7</w:t>
      </w:r>
      <w:r w:rsidRPr="000A2962">
        <w:rPr>
          <w:rFonts w:cstheme="minorHAnsi"/>
          <w:b/>
          <w:sz w:val="20"/>
          <w:szCs w:val="20"/>
          <w:u w:val="single"/>
        </w:rPr>
        <w:t>.201</w:t>
      </w:r>
      <w:r w:rsidR="00407ECF" w:rsidRPr="000A2962">
        <w:rPr>
          <w:rFonts w:cstheme="minorHAnsi"/>
          <w:b/>
          <w:sz w:val="20"/>
          <w:szCs w:val="20"/>
          <w:u w:val="single"/>
        </w:rPr>
        <w:t>7</w:t>
      </w:r>
      <w:r w:rsidRPr="000A2962">
        <w:rPr>
          <w:rFonts w:cstheme="minorHAnsi"/>
          <w:b/>
          <w:sz w:val="20"/>
          <w:szCs w:val="20"/>
          <w:u w:val="single"/>
        </w:rPr>
        <w:t xml:space="preserve"> г.</w:t>
      </w:r>
    </w:p>
    <w:p w:rsidR="002C17A0" w:rsidRPr="000A2962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0A2962">
        <w:rPr>
          <w:sz w:val="20"/>
          <w:szCs w:val="20"/>
        </w:rPr>
        <w:t xml:space="preserve">Поставщик обязуется передать, а Покупатель принять и оплатить </w:t>
      </w:r>
      <w:r w:rsidR="003A7E9D" w:rsidRPr="000A2962">
        <w:rPr>
          <w:sz w:val="20"/>
          <w:szCs w:val="20"/>
        </w:rPr>
        <w:t>Работы в</w:t>
      </w:r>
      <w:r w:rsidR="00095D69" w:rsidRPr="000A2962">
        <w:rPr>
          <w:sz w:val="20"/>
          <w:szCs w:val="20"/>
        </w:rPr>
        <w:t xml:space="preserve"> </w:t>
      </w:r>
      <w:r w:rsidRPr="000A2962">
        <w:rPr>
          <w:sz w:val="20"/>
          <w:szCs w:val="20"/>
        </w:rPr>
        <w:t>количестве, по ценам, способами и в сроки :</w:t>
      </w:r>
    </w:p>
    <w:p w:rsidR="002C17A0" w:rsidRPr="00921572" w:rsidRDefault="00CD6455" w:rsidP="00921572">
      <w:pPr>
        <w:pStyle w:val="aa"/>
        <w:rPr>
          <w:rFonts w:cs="Arial"/>
          <w:color w:val="000000"/>
          <w:sz w:val="20"/>
          <w:szCs w:val="20"/>
          <w:shd w:val="clear" w:color="auto" w:fill="FFFFFF"/>
        </w:rPr>
      </w:pPr>
      <w:r w:rsidRPr="00921572">
        <w:rPr>
          <w:sz w:val="20"/>
          <w:szCs w:val="20"/>
        </w:rPr>
        <w:t xml:space="preserve"> </w:t>
      </w:r>
      <w:r w:rsidR="00921572" w:rsidRPr="00921572">
        <w:rPr>
          <w:rFonts w:cs="Arial"/>
          <w:color w:val="000000"/>
          <w:sz w:val="20"/>
          <w:szCs w:val="20"/>
          <w:shd w:val="clear" w:color="auto" w:fill="FFFFFF"/>
        </w:rPr>
        <w:t>Монтаж инженерно-заградительного препятствия  "Егоза" по бетонному забору</w:t>
      </w:r>
    </w:p>
    <w:tbl>
      <w:tblPr>
        <w:tblStyle w:val="a9"/>
        <w:tblW w:w="10748" w:type="dxa"/>
        <w:tblInd w:w="-34" w:type="dxa"/>
        <w:tblLook w:val="04A0" w:firstRow="1" w:lastRow="0" w:firstColumn="1" w:lastColumn="0" w:noHBand="0" w:noVBand="1"/>
      </w:tblPr>
      <w:tblGrid>
        <w:gridCol w:w="2046"/>
        <w:gridCol w:w="8702"/>
      </w:tblGrid>
      <w:tr w:rsidR="00921572" w:rsidRPr="00921572" w:rsidTr="00921572">
        <w:trPr>
          <w:trHeight w:val="408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72" w:rsidRPr="00921572" w:rsidRDefault="00921572">
            <w:pPr>
              <w:rPr>
                <w:rFonts w:cs="Arial"/>
              </w:rPr>
            </w:pPr>
            <w:r w:rsidRPr="00921572">
              <w:rPr>
                <w:rFonts w:cs="Arial"/>
              </w:rPr>
              <w:t>Описание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>1)Установка заградительного препятствия «Егоза» производится по верху железобетонного забора высотой 2,4 м (170 м - панели длиной 2,5 м, 460 м - панели длиной 6 м, 20 м - забор из блоков). Общая протяженность забора – 650м.</w:t>
            </w:r>
          </w:p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>2) СББ «Егоза» 600/10 (5 витков) сталь оцинк. Марки 08Ю толщиной 0,5мм ГОСТ 14918-80,проволока оцинк. из высокоуглеродистой  стали марки Ст 70 диам. 2,5 мм ГОСТ 7372-79.</w:t>
            </w:r>
          </w:p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>3) Кронштейн Г-образный (под СББ600).Уголок 32х32х4мм.Покрытие: грунт ГФ-021+ эмаль ПФ-115</w:t>
            </w:r>
          </w:p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 xml:space="preserve">4) Проволока о/к т/н </w:t>
            </w:r>
            <w:r w:rsidRPr="00921572">
              <w:rPr>
                <w:rFonts w:cs="Arial"/>
                <w:color w:val="000000"/>
                <w:shd w:val="clear" w:color="auto" w:fill="FFFFFF"/>
                <w:lang w:val="en-US"/>
              </w:rPr>
              <w:t>d</w:t>
            </w:r>
            <w:r w:rsidRPr="00921572">
              <w:rPr>
                <w:rFonts w:cs="Arial"/>
                <w:color w:val="000000"/>
                <w:shd w:val="clear" w:color="auto" w:fill="FFFFFF"/>
              </w:rPr>
              <w:t xml:space="preserve">=2,5мм ГОСТ 3282-74 , проволока о/к т/н </w:t>
            </w:r>
            <w:r w:rsidRPr="00921572">
              <w:rPr>
                <w:rFonts w:cs="Arial"/>
                <w:color w:val="000000"/>
                <w:shd w:val="clear" w:color="auto" w:fill="FFFFFF"/>
                <w:lang w:val="en-US"/>
              </w:rPr>
              <w:t>d</w:t>
            </w:r>
            <w:r w:rsidRPr="00921572">
              <w:rPr>
                <w:rFonts w:cs="Arial"/>
                <w:color w:val="000000"/>
                <w:shd w:val="clear" w:color="auto" w:fill="FFFFFF"/>
              </w:rPr>
              <w:t>=1,6мм ГОСТ 3282-74,  диаметр витка проволоки 0,6 м, количество витков на погонный метр - 5, крепление на Г-образные кронштейны.</w:t>
            </w:r>
          </w:p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>5) Натяжное устройство 50шт.</w:t>
            </w:r>
          </w:p>
          <w:p w:rsidR="00921572" w:rsidRPr="00921572" w:rsidRDefault="00921572">
            <w:pPr>
              <w:rPr>
                <w:rFonts w:cs="Arial"/>
                <w:color w:val="000000"/>
                <w:shd w:val="clear" w:color="auto" w:fill="FFFFFF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 xml:space="preserve">6) Крепежный элемент кронштейна к ж/бетонному забору РДК </w:t>
            </w:r>
            <w:r w:rsidRPr="00921572">
              <w:rPr>
                <w:rFonts w:cs="Arial"/>
                <w:color w:val="000000"/>
                <w:shd w:val="clear" w:color="auto" w:fill="FFFFFF"/>
                <w:lang w:val="en-US"/>
              </w:rPr>
              <w:t>d</w:t>
            </w:r>
            <w:r w:rsidRPr="00921572">
              <w:rPr>
                <w:rFonts w:cs="Arial"/>
                <w:color w:val="000000"/>
                <w:shd w:val="clear" w:color="auto" w:fill="FFFFFF"/>
              </w:rPr>
              <w:t xml:space="preserve">=12мм, шуруп с шестигранной головкой </w:t>
            </w:r>
            <w:r w:rsidRPr="00921572">
              <w:rPr>
                <w:rFonts w:cs="Arial"/>
                <w:color w:val="000000"/>
                <w:shd w:val="clear" w:color="auto" w:fill="FFFFFF"/>
                <w:lang w:val="en-US"/>
              </w:rPr>
              <w:t>d</w:t>
            </w:r>
            <w:r w:rsidRPr="00921572">
              <w:rPr>
                <w:rFonts w:cs="Arial"/>
                <w:color w:val="000000"/>
                <w:shd w:val="clear" w:color="auto" w:fill="FFFFFF"/>
              </w:rPr>
              <w:t>=8мм (компл 460)</w:t>
            </w:r>
          </w:p>
          <w:p w:rsidR="00921572" w:rsidRPr="00921572" w:rsidRDefault="00921572">
            <w:pPr>
              <w:rPr>
                <w:rFonts w:cs="Arial"/>
              </w:rPr>
            </w:pPr>
            <w:r w:rsidRPr="00921572">
              <w:rPr>
                <w:rFonts w:cs="Arial"/>
                <w:color w:val="000000"/>
                <w:shd w:val="clear" w:color="auto" w:fill="FFFFFF"/>
              </w:rPr>
              <w:t>Примечание:</w:t>
            </w:r>
            <w:r w:rsidRPr="0092157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Предложение включает в себя стоимость работ по монтажу заградительного препятствия и стоимость материалов.</w:t>
            </w:r>
          </w:p>
        </w:tc>
      </w:tr>
      <w:tr w:rsidR="00921572" w:rsidRPr="00921572" w:rsidTr="00921572">
        <w:trPr>
          <w:trHeight w:val="42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72" w:rsidRPr="00921572" w:rsidRDefault="00921572">
            <w:pPr>
              <w:rPr>
                <w:rFonts w:cs="Arial"/>
              </w:rPr>
            </w:pPr>
            <w:r w:rsidRPr="00921572">
              <w:rPr>
                <w:rFonts w:cs="Arial"/>
              </w:rPr>
              <w:t>Начальная цена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72" w:rsidRPr="00921572" w:rsidRDefault="00921572">
            <w:pPr>
              <w:rPr>
                <w:rFonts w:cs="Arial"/>
              </w:rPr>
            </w:pPr>
            <w:r w:rsidRPr="00921572">
              <w:rPr>
                <w:rFonts w:cs="Arial"/>
                <w:b/>
              </w:rPr>
              <w:t>384755,50</w:t>
            </w:r>
            <w:r w:rsidRPr="00921572">
              <w:rPr>
                <w:rFonts w:cs="Arial"/>
              </w:rPr>
              <w:t>. с НДС 18%</w:t>
            </w:r>
          </w:p>
        </w:tc>
      </w:tr>
    </w:tbl>
    <w:p w:rsidR="00921572" w:rsidRPr="00921572" w:rsidRDefault="00921572" w:rsidP="00921572">
      <w:pPr>
        <w:pStyle w:val="aa"/>
        <w:rPr>
          <w:sz w:val="20"/>
          <w:szCs w:val="20"/>
        </w:rPr>
      </w:pPr>
    </w:p>
    <w:p w:rsidR="00765C8D" w:rsidRPr="00921572" w:rsidRDefault="00765C8D" w:rsidP="002C17A0">
      <w:pPr>
        <w:pStyle w:val="aa"/>
        <w:rPr>
          <w:sz w:val="20"/>
          <w:szCs w:val="20"/>
        </w:rPr>
      </w:pPr>
    </w:p>
    <w:p w:rsidR="00CD6455" w:rsidRPr="000A2962" w:rsidRDefault="00394397" w:rsidP="00407ECF">
      <w:pPr>
        <w:pStyle w:val="aa"/>
        <w:jc w:val="both"/>
        <w:rPr>
          <w:sz w:val="20"/>
          <w:szCs w:val="20"/>
        </w:rPr>
      </w:pPr>
      <w:r w:rsidRPr="000A2962">
        <w:rPr>
          <w:b/>
          <w:sz w:val="20"/>
          <w:szCs w:val="20"/>
        </w:rPr>
        <w:t>2</w:t>
      </w:r>
      <w:r w:rsidR="00CD6455" w:rsidRPr="000A2962">
        <w:rPr>
          <w:b/>
          <w:sz w:val="20"/>
          <w:szCs w:val="20"/>
        </w:rPr>
        <w:t>.</w:t>
      </w:r>
      <w:r w:rsidR="00CD6455" w:rsidRPr="000A2962">
        <w:rPr>
          <w:sz w:val="20"/>
          <w:szCs w:val="20"/>
        </w:rPr>
        <w:t xml:space="preserve"> Порядок оплаты:</w:t>
      </w:r>
    </w:p>
    <w:p w:rsidR="00CD6455" w:rsidRPr="000A2962" w:rsidRDefault="00095D69" w:rsidP="00407ECF">
      <w:pPr>
        <w:pStyle w:val="aa"/>
        <w:jc w:val="both"/>
        <w:rPr>
          <w:sz w:val="20"/>
          <w:szCs w:val="20"/>
        </w:rPr>
      </w:pPr>
      <w:r w:rsidRPr="000A2962">
        <w:rPr>
          <w:sz w:val="20"/>
          <w:szCs w:val="20"/>
        </w:rPr>
        <w:t>2</w:t>
      </w:r>
      <w:r w:rsidR="00CD6455" w:rsidRPr="000A2962">
        <w:rPr>
          <w:sz w:val="20"/>
          <w:szCs w:val="20"/>
        </w:rPr>
        <w:t xml:space="preserve">.1. Покупатель производит оплату </w:t>
      </w:r>
      <w:r w:rsidRPr="000A2962">
        <w:rPr>
          <w:sz w:val="20"/>
          <w:szCs w:val="20"/>
        </w:rPr>
        <w:t>выполненных работ</w:t>
      </w:r>
      <w:r w:rsidR="00CD6455" w:rsidRPr="000A2962">
        <w:rPr>
          <w:sz w:val="20"/>
          <w:szCs w:val="20"/>
        </w:rPr>
        <w:t xml:space="preserve"> следующим образом:</w:t>
      </w:r>
    </w:p>
    <w:p w:rsidR="00CD6455" w:rsidRPr="000A2962" w:rsidRDefault="00095D69" w:rsidP="00407ECF">
      <w:pPr>
        <w:pStyle w:val="aa"/>
        <w:jc w:val="both"/>
        <w:rPr>
          <w:sz w:val="20"/>
          <w:szCs w:val="20"/>
        </w:rPr>
      </w:pPr>
      <w:r w:rsidRPr="000A2962">
        <w:rPr>
          <w:sz w:val="20"/>
          <w:szCs w:val="20"/>
        </w:rPr>
        <w:t>2</w:t>
      </w:r>
      <w:r w:rsidR="00CD6455" w:rsidRPr="000A2962">
        <w:rPr>
          <w:sz w:val="20"/>
          <w:szCs w:val="20"/>
        </w:rPr>
        <w:t xml:space="preserve">.1.1. </w:t>
      </w:r>
      <w:r w:rsidRPr="000A2962">
        <w:rPr>
          <w:sz w:val="20"/>
          <w:szCs w:val="20"/>
        </w:rPr>
        <w:t xml:space="preserve"> </w:t>
      </w:r>
      <w:r w:rsidR="00003FCA" w:rsidRPr="000A2962">
        <w:rPr>
          <w:sz w:val="20"/>
          <w:szCs w:val="20"/>
        </w:rPr>
        <w:t xml:space="preserve">предоплата </w:t>
      </w:r>
      <w:r w:rsidR="00921572">
        <w:rPr>
          <w:sz w:val="20"/>
          <w:szCs w:val="20"/>
        </w:rPr>
        <w:t>7</w:t>
      </w:r>
      <w:r w:rsidR="00003FCA" w:rsidRPr="000A2962">
        <w:rPr>
          <w:sz w:val="20"/>
          <w:szCs w:val="20"/>
        </w:rPr>
        <w:t>0%</w:t>
      </w:r>
      <w:r w:rsidR="00A67DA5" w:rsidRPr="000A2962">
        <w:rPr>
          <w:sz w:val="20"/>
          <w:szCs w:val="20"/>
        </w:rPr>
        <w:t xml:space="preserve"> </w:t>
      </w:r>
      <w:r w:rsidR="00003FCA" w:rsidRPr="000A2962">
        <w:rPr>
          <w:sz w:val="20"/>
          <w:szCs w:val="20"/>
        </w:rPr>
        <w:t>,</w:t>
      </w:r>
      <w:r w:rsidR="00921572">
        <w:rPr>
          <w:sz w:val="20"/>
          <w:szCs w:val="20"/>
        </w:rPr>
        <w:t>30%</w:t>
      </w:r>
      <w:r w:rsidR="00003FCA" w:rsidRPr="000A2962">
        <w:rPr>
          <w:sz w:val="20"/>
          <w:szCs w:val="20"/>
        </w:rPr>
        <w:t xml:space="preserve"> окончательная оплата</w:t>
      </w:r>
      <w:r w:rsidRPr="000A2962">
        <w:rPr>
          <w:sz w:val="20"/>
          <w:szCs w:val="20"/>
        </w:rPr>
        <w:t xml:space="preserve"> </w:t>
      </w:r>
      <w:r w:rsidR="00921572">
        <w:rPr>
          <w:sz w:val="20"/>
          <w:szCs w:val="20"/>
        </w:rPr>
        <w:t xml:space="preserve"> в течении </w:t>
      </w:r>
      <w:r w:rsidRPr="000A2962">
        <w:rPr>
          <w:sz w:val="20"/>
          <w:szCs w:val="20"/>
        </w:rPr>
        <w:t xml:space="preserve">10 банковских дней </w:t>
      </w:r>
      <w:r w:rsidR="00D75606" w:rsidRPr="000A2962">
        <w:rPr>
          <w:sz w:val="20"/>
          <w:szCs w:val="20"/>
        </w:rPr>
        <w:t xml:space="preserve"> после фактической передачи </w:t>
      </w:r>
      <w:r w:rsidR="00394397" w:rsidRPr="000A2962">
        <w:rPr>
          <w:sz w:val="20"/>
          <w:szCs w:val="20"/>
        </w:rPr>
        <w:t>работ</w:t>
      </w:r>
      <w:r w:rsidR="00D75606" w:rsidRPr="000A2962">
        <w:rPr>
          <w:sz w:val="20"/>
          <w:szCs w:val="20"/>
        </w:rPr>
        <w:t xml:space="preserve"> заказчику</w:t>
      </w:r>
      <w:r w:rsidRPr="000A2962">
        <w:rPr>
          <w:sz w:val="20"/>
          <w:szCs w:val="20"/>
        </w:rPr>
        <w:t xml:space="preserve"> и подписания акта приема-передачи</w:t>
      </w:r>
      <w:r w:rsidR="002F641F" w:rsidRPr="000A2962">
        <w:rPr>
          <w:sz w:val="20"/>
          <w:szCs w:val="20"/>
        </w:rPr>
        <w:t>.</w:t>
      </w:r>
    </w:p>
    <w:p w:rsidR="00CD6455" w:rsidRPr="000A2962" w:rsidRDefault="00394397" w:rsidP="00407ECF">
      <w:pPr>
        <w:pStyle w:val="aa"/>
        <w:jc w:val="both"/>
        <w:rPr>
          <w:b/>
          <w:sz w:val="20"/>
          <w:szCs w:val="20"/>
        </w:rPr>
      </w:pPr>
      <w:r w:rsidRPr="000A2962">
        <w:rPr>
          <w:b/>
          <w:sz w:val="20"/>
          <w:szCs w:val="20"/>
        </w:rPr>
        <w:t>3</w:t>
      </w:r>
      <w:r w:rsidR="00CD6455" w:rsidRPr="000A2962">
        <w:rPr>
          <w:b/>
          <w:sz w:val="20"/>
          <w:szCs w:val="20"/>
        </w:rPr>
        <w:t>.</w:t>
      </w:r>
      <w:r w:rsidR="00CD6455" w:rsidRPr="000A2962">
        <w:rPr>
          <w:sz w:val="20"/>
          <w:szCs w:val="20"/>
        </w:rPr>
        <w:t xml:space="preserve"> </w:t>
      </w:r>
      <w:r w:rsidRPr="000A2962">
        <w:rPr>
          <w:sz w:val="20"/>
          <w:szCs w:val="20"/>
        </w:rPr>
        <w:t>Срок выполнения работ</w:t>
      </w:r>
      <w:r w:rsidR="000A2962" w:rsidRPr="000A2962">
        <w:rPr>
          <w:sz w:val="20"/>
          <w:szCs w:val="20"/>
        </w:rPr>
        <w:t>:</w:t>
      </w:r>
      <w:r w:rsidR="00921572">
        <w:rPr>
          <w:sz w:val="20"/>
          <w:szCs w:val="20"/>
        </w:rPr>
        <w:t>июль 2017</w:t>
      </w:r>
      <w:r w:rsidR="000A2962" w:rsidRPr="000A2962">
        <w:rPr>
          <w:b/>
          <w:sz w:val="20"/>
          <w:szCs w:val="20"/>
        </w:rPr>
        <w:t>.</w:t>
      </w:r>
    </w:p>
    <w:p w:rsidR="000A2962" w:rsidRPr="000A2962" w:rsidRDefault="00394397" w:rsidP="000A2962">
      <w:pPr>
        <w:pStyle w:val="ae"/>
        <w:rPr>
          <w:rFonts w:asciiTheme="minorHAnsi" w:hAnsiTheme="minorHAnsi"/>
          <w:sz w:val="20"/>
          <w:szCs w:val="20"/>
        </w:rPr>
      </w:pPr>
      <w:r w:rsidRPr="000A2962">
        <w:rPr>
          <w:rFonts w:asciiTheme="minorHAnsi" w:hAnsiTheme="minorHAnsi"/>
          <w:b/>
          <w:sz w:val="20"/>
          <w:szCs w:val="20"/>
        </w:rPr>
        <w:t xml:space="preserve">4. </w:t>
      </w:r>
      <w:r w:rsidRPr="000A2962">
        <w:rPr>
          <w:rFonts w:asciiTheme="minorHAnsi" w:hAnsiTheme="minorHAnsi"/>
          <w:sz w:val="20"/>
          <w:szCs w:val="20"/>
        </w:rPr>
        <w:t>Особые отметки:</w:t>
      </w:r>
      <w:r w:rsidRPr="000A2962">
        <w:rPr>
          <w:rFonts w:asciiTheme="minorHAnsi" w:hAnsiTheme="minorHAnsi" w:cstheme="minorHAnsi"/>
          <w:sz w:val="20"/>
          <w:szCs w:val="20"/>
        </w:rPr>
        <w:t xml:space="preserve"> </w:t>
      </w:r>
      <w:r w:rsidR="000A2962" w:rsidRPr="000A296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411"/>
        <w:gridCol w:w="7194"/>
      </w:tblGrid>
      <w:tr w:rsidR="000A2962" w:rsidRPr="000A2962" w:rsidTr="000A2962">
        <w:tc>
          <w:tcPr>
            <w:tcW w:w="2411" w:type="dxa"/>
          </w:tcPr>
          <w:p w:rsidR="000A2962" w:rsidRPr="000A2962" w:rsidRDefault="000A2962" w:rsidP="00E470C9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0A2962">
              <w:rPr>
                <w:rFonts w:asciiTheme="minorHAnsi" w:hAnsiTheme="minorHAnsi" w:cstheme="minorHAnsi"/>
                <w:sz w:val="20"/>
                <w:szCs w:val="20"/>
              </w:rPr>
              <w:t>Требования к ТБ и биобезопасности</w:t>
            </w:r>
          </w:p>
        </w:tc>
        <w:tc>
          <w:tcPr>
            <w:tcW w:w="7194" w:type="dxa"/>
          </w:tcPr>
          <w:p w:rsidR="000A2962" w:rsidRPr="000A2962" w:rsidRDefault="000A2962" w:rsidP="000A2962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2962">
              <w:rPr>
                <w:rFonts w:asciiTheme="minorHAnsi" w:hAnsiTheme="minorHAnsi" w:cstheme="minorHAnsi"/>
                <w:sz w:val="20"/>
                <w:szCs w:val="20"/>
              </w:rPr>
              <w:t>Подрядчик заблаговременно предоставляет список сотрудников, участвующих в монтажных работах для выписки биокарт и обязуется выполнять требования, предписанные  Регламентом биобезопасности ООО «АПК «Промагро»;</w:t>
            </w:r>
          </w:p>
          <w:p w:rsidR="000A2962" w:rsidRPr="000A2962" w:rsidRDefault="000A2962" w:rsidP="000A2962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2962">
              <w:rPr>
                <w:rFonts w:asciiTheme="minorHAnsi" w:hAnsiTheme="minorHAnsi" w:cstheme="minorHAnsi"/>
                <w:sz w:val="20"/>
                <w:szCs w:val="20"/>
              </w:rPr>
              <w:t>Заказчик оставляет за собой право отказать в посещении работникам Подрядчика территории комбикормового завода в случае нарушения ими Регламента биобезопасности или прибывшим из ветеринарно неблагополучных районов РФ;</w:t>
            </w:r>
          </w:p>
          <w:p w:rsidR="000A2962" w:rsidRPr="000A2962" w:rsidRDefault="000A2962" w:rsidP="000A2962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29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Все работы должны быть выполнены Подрячиком с соблюдением норм и правил по ТБ и ПБ на ОПО и другими нормативными актами, действующими на территории РФ, а также в соответствии с установленными нормами в ООО «АПК «Промагро». Ответственность за соблюдение норм ТБ при выполнение работ на территории ЗПК несет Подрядчик;</w:t>
            </w:r>
          </w:p>
          <w:p w:rsidR="000A2962" w:rsidRPr="000A2962" w:rsidRDefault="000A2962" w:rsidP="00921572">
            <w:pPr>
              <w:pStyle w:val="ae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6CF3" w:rsidRPr="000A2962" w:rsidRDefault="00A67DA5" w:rsidP="00194E4D">
      <w:pPr>
        <w:pStyle w:val="aa"/>
        <w:rPr>
          <w:sz w:val="20"/>
          <w:szCs w:val="20"/>
        </w:rPr>
      </w:pPr>
      <w:r w:rsidRPr="000A2962">
        <w:rPr>
          <w:b/>
          <w:sz w:val="20"/>
          <w:szCs w:val="20"/>
        </w:rPr>
        <w:lastRenderedPageBreak/>
        <w:t>5</w:t>
      </w:r>
      <w:r w:rsidR="00A03C30" w:rsidRPr="000A2962">
        <w:rPr>
          <w:b/>
          <w:sz w:val="20"/>
          <w:szCs w:val="20"/>
        </w:rPr>
        <w:t>.</w:t>
      </w:r>
      <w:r w:rsidR="00A03C30" w:rsidRPr="000A2962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0A2962" w:rsidRPr="000A2962" w:rsidTr="009E7523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</w:tcPr>
          <w:p w:rsidR="000A2962" w:rsidRPr="00921572" w:rsidRDefault="00921572" w:rsidP="000A2962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921572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Монтаж инженерно-заградительного препятствия  "Егоза" по бетонному забору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0A2962" w:rsidRPr="00921572" w:rsidRDefault="0092157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921572">
              <w:rPr>
                <w:rFonts w:cs="Arial"/>
                <w:sz w:val="20"/>
                <w:szCs w:val="20"/>
              </w:rPr>
              <w:t>Белгородская область, город Старый Оскол, станция Котел-10, проезд Ш-5, промузел, площадка «Строительная» строение №5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0A2962" w:rsidRPr="000A2962" w:rsidRDefault="000A2962" w:rsidP="000A2962">
            <w:pPr>
              <w:rPr>
                <w:rFonts w:cstheme="minorHAnsi"/>
                <w:sz w:val="20"/>
                <w:szCs w:val="20"/>
              </w:rPr>
            </w:pPr>
            <w:r w:rsidRPr="000A2962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монтаж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Срок выполнения работ</w:t>
            </w:r>
          </w:p>
        </w:tc>
        <w:tc>
          <w:tcPr>
            <w:tcW w:w="5812" w:type="dxa"/>
            <w:vAlign w:val="center"/>
          </w:tcPr>
          <w:p w:rsidR="000A2962" w:rsidRPr="000A2962" w:rsidRDefault="00921572" w:rsidP="000A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Гарантийный срок</w:t>
            </w:r>
          </w:p>
        </w:tc>
        <w:tc>
          <w:tcPr>
            <w:tcW w:w="5812" w:type="dxa"/>
            <w:vAlign w:val="center"/>
          </w:tcPr>
          <w:p w:rsidR="000A2962" w:rsidRPr="000A2962" w:rsidRDefault="00921572" w:rsidP="000A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месяцев</w:t>
            </w:r>
          </w:p>
        </w:tc>
      </w:tr>
      <w:tr w:rsidR="000A2962" w:rsidRPr="000A2962" w:rsidTr="00900CFB">
        <w:trPr>
          <w:jc w:val="center"/>
        </w:trPr>
        <w:tc>
          <w:tcPr>
            <w:tcW w:w="4060" w:type="dxa"/>
            <w:vAlign w:val="center"/>
          </w:tcPr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962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0A2962" w:rsidRPr="000A2962" w:rsidRDefault="00921572" w:rsidP="000A2962">
            <w:pPr>
              <w:shd w:val="clear" w:color="auto" w:fill="FFFFFF"/>
              <w:ind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384 755,50</w:t>
            </w:r>
            <w:r w:rsidR="000A2962" w:rsidRPr="000A2962">
              <w:rPr>
                <w:sz w:val="20"/>
                <w:szCs w:val="20"/>
              </w:rPr>
              <w:t xml:space="preserve"> рублей с НДС</w:t>
            </w:r>
          </w:p>
          <w:p w:rsidR="000A2962" w:rsidRPr="000A2962" w:rsidRDefault="000A2962" w:rsidP="000A296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0A2962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0A2962" w:rsidRDefault="00A67DA5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0A2962">
        <w:rPr>
          <w:rFonts w:cstheme="minorHAnsi"/>
          <w:b/>
          <w:sz w:val="20"/>
          <w:szCs w:val="20"/>
        </w:rPr>
        <w:t>6</w:t>
      </w:r>
      <w:r w:rsidR="00B135C5" w:rsidRPr="000A2962">
        <w:rPr>
          <w:rFonts w:cstheme="minorHAnsi"/>
          <w:b/>
          <w:sz w:val="20"/>
          <w:szCs w:val="20"/>
        </w:rPr>
        <w:t>.</w:t>
      </w:r>
      <w:r w:rsidR="00B135C5" w:rsidRPr="000A2962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0A2962">
        <w:rPr>
          <w:rFonts w:cstheme="minorHAnsi"/>
          <w:b/>
          <w:sz w:val="20"/>
          <w:szCs w:val="20"/>
        </w:rPr>
        <w:t>:</w:t>
      </w:r>
      <w:r w:rsidR="006F256A" w:rsidRPr="000A2962">
        <w:rPr>
          <w:rFonts w:cstheme="minorHAnsi"/>
          <w:b/>
          <w:sz w:val="20"/>
          <w:szCs w:val="20"/>
        </w:rPr>
        <w:t xml:space="preserve"> </w:t>
      </w:r>
      <w:r w:rsidR="00921572">
        <w:rPr>
          <w:rFonts w:cstheme="minorHAnsi"/>
          <w:b/>
          <w:sz w:val="20"/>
          <w:szCs w:val="20"/>
        </w:rPr>
        <w:t>384 755,50</w:t>
      </w:r>
      <w:r w:rsidR="0081506E" w:rsidRPr="000A2962">
        <w:rPr>
          <w:sz w:val="20"/>
          <w:szCs w:val="20"/>
        </w:rPr>
        <w:t xml:space="preserve"> </w:t>
      </w:r>
      <w:r w:rsidR="00765C8D" w:rsidRPr="000A2962">
        <w:rPr>
          <w:b/>
          <w:sz w:val="20"/>
          <w:szCs w:val="20"/>
        </w:rPr>
        <w:t>рублей с НДС</w:t>
      </w:r>
    </w:p>
    <w:p w:rsidR="00253162" w:rsidRPr="000A2962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0A2962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43" w:rsidRDefault="00F45043" w:rsidP="00AA77E5">
      <w:pPr>
        <w:spacing w:after="0" w:line="240" w:lineRule="auto"/>
      </w:pPr>
      <w:r>
        <w:separator/>
      </w:r>
    </w:p>
  </w:endnote>
  <w:end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43" w:rsidRDefault="00F45043" w:rsidP="00AA77E5">
      <w:pPr>
        <w:spacing w:after="0" w:line="240" w:lineRule="auto"/>
      </w:pPr>
      <w:r>
        <w:separator/>
      </w:r>
    </w:p>
  </w:footnote>
  <w:foot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22A"/>
    <w:multiLevelType w:val="hybridMultilevel"/>
    <w:tmpl w:val="A9F6D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FCA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95D69"/>
    <w:rsid w:val="000A2962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55FB"/>
    <w:rsid w:val="002C17A0"/>
    <w:rsid w:val="002C4FC6"/>
    <w:rsid w:val="002C581F"/>
    <w:rsid w:val="002F641F"/>
    <w:rsid w:val="00310823"/>
    <w:rsid w:val="003145E1"/>
    <w:rsid w:val="00317485"/>
    <w:rsid w:val="003257F3"/>
    <w:rsid w:val="003362A6"/>
    <w:rsid w:val="003401F2"/>
    <w:rsid w:val="00344BB6"/>
    <w:rsid w:val="003632C9"/>
    <w:rsid w:val="00364DE0"/>
    <w:rsid w:val="00376CBD"/>
    <w:rsid w:val="00386F44"/>
    <w:rsid w:val="00394397"/>
    <w:rsid w:val="003A73D3"/>
    <w:rsid w:val="003A7E9D"/>
    <w:rsid w:val="003B3808"/>
    <w:rsid w:val="003B6EB8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4836"/>
    <w:rsid w:val="004B1BEE"/>
    <w:rsid w:val="004B32AB"/>
    <w:rsid w:val="004B3F9F"/>
    <w:rsid w:val="004F5411"/>
    <w:rsid w:val="0051162C"/>
    <w:rsid w:val="0053694F"/>
    <w:rsid w:val="00537070"/>
    <w:rsid w:val="005435B6"/>
    <w:rsid w:val="005558A2"/>
    <w:rsid w:val="005607F2"/>
    <w:rsid w:val="00575663"/>
    <w:rsid w:val="00592618"/>
    <w:rsid w:val="0059267E"/>
    <w:rsid w:val="005B1224"/>
    <w:rsid w:val="005B26A4"/>
    <w:rsid w:val="005B649B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36D6D"/>
    <w:rsid w:val="007540F9"/>
    <w:rsid w:val="00765C8D"/>
    <w:rsid w:val="00784EC7"/>
    <w:rsid w:val="00785906"/>
    <w:rsid w:val="007A0F13"/>
    <w:rsid w:val="007D7480"/>
    <w:rsid w:val="00812419"/>
    <w:rsid w:val="0081506E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572"/>
    <w:rsid w:val="00921B49"/>
    <w:rsid w:val="0093627A"/>
    <w:rsid w:val="009401D0"/>
    <w:rsid w:val="00983C83"/>
    <w:rsid w:val="009C1BF0"/>
    <w:rsid w:val="009D36B7"/>
    <w:rsid w:val="009D4ECD"/>
    <w:rsid w:val="00A03C30"/>
    <w:rsid w:val="00A258DE"/>
    <w:rsid w:val="00A32546"/>
    <w:rsid w:val="00A50716"/>
    <w:rsid w:val="00A67D60"/>
    <w:rsid w:val="00A67DA5"/>
    <w:rsid w:val="00A83E26"/>
    <w:rsid w:val="00A92993"/>
    <w:rsid w:val="00AA0F6B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4B6B"/>
    <w:rsid w:val="00C66098"/>
    <w:rsid w:val="00C712FB"/>
    <w:rsid w:val="00C84D68"/>
    <w:rsid w:val="00C95A3A"/>
    <w:rsid w:val="00CC21F9"/>
    <w:rsid w:val="00CC48E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7560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5043"/>
    <w:rsid w:val="00F46F53"/>
    <w:rsid w:val="00F47303"/>
    <w:rsid w:val="00F52BB4"/>
    <w:rsid w:val="00F57DC3"/>
    <w:rsid w:val="00F71E44"/>
    <w:rsid w:val="00F7359D"/>
    <w:rsid w:val="00F73F23"/>
    <w:rsid w:val="00F84B19"/>
    <w:rsid w:val="00F92231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3E99DC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7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74DC-D3C5-4F09-9E6B-31AE36D5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40</cp:revision>
  <cp:lastPrinted>2016-04-20T10:23:00Z</cp:lastPrinted>
  <dcterms:created xsi:type="dcterms:W3CDTF">2016-12-07T12:34:00Z</dcterms:created>
  <dcterms:modified xsi:type="dcterms:W3CDTF">2017-07-10T08:31:00Z</dcterms:modified>
</cp:coreProperties>
</file>